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Default="00E6179D" w:rsidP="00E6179D">
      <w:pPr>
        <w:spacing w:after="0" w:line="360" w:lineRule="auto"/>
        <w:jc w:val="both"/>
        <w:rPr>
          <w:rFonts w:ascii="Palatino Linotype" w:hAnsi="Palatino Linotype" w:cs="Arial"/>
          <w:b/>
          <w:bCs/>
          <w:sz w:val="23"/>
          <w:szCs w:val="23"/>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F44EAA">
        <w:rPr>
          <w:rFonts w:ascii="Palatino Linotype" w:hAnsi="Palatino Linotype" w:cs="Arial"/>
          <w:b/>
          <w:bCs/>
          <w:sz w:val="23"/>
          <w:szCs w:val="23"/>
        </w:rPr>
        <w:t>3</w:t>
      </w:r>
      <w:r w:rsidR="006D1B17">
        <w:rPr>
          <w:rFonts w:ascii="Palatino Linotype" w:hAnsi="Palatino Linotype" w:cs="Arial"/>
          <w:b/>
          <w:bCs/>
          <w:sz w:val="23"/>
          <w:szCs w:val="23"/>
        </w:rPr>
        <w:t>899</w:t>
      </w:r>
      <w:r w:rsidR="00436541">
        <w:rPr>
          <w:rFonts w:ascii="Palatino Linotype" w:hAnsi="Palatino Linotype" w:cs="Arial"/>
          <w:b/>
          <w:bCs/>
          <w:sz w:val="23"/>
          <w:szCs w:val="23"/>
        </w:rPr>
        <w:t>/INFOEM/IP/RR/2018.</w:t>
      </w:r>
    </w:p>
    <w:p w:rsidR="00436541" w:rsidRDefault="00436541"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
          <w:bCs/>
        </w:rPr>
      </w:sdtEndPr>
      <w:sdtContent>
        <w:p w:rsidR="00964E10" w:rsidRPr="00F026EC" w:rsidRDefault="00E6179D">
          <w:pPr>
            <w:pStyle w:val="TDC1"/>
            <w:rPr>
              <w:rFonts w:eastAsiaTheme="minorEastAsia"/>
              <w:sz w:val="24"/>
              <w:szCs w:val="24"/>
              <w:lang w:eastAsia="es-MX"/>
            </w:rPr>
          </w:pPr>
          <w:r w:rsidRPr="00F026EC">
            <w:rPr>
              <w:sz w:val="24"/>
              <w:szCs w:val="24"/>
            </w:rPr>
            <w:fldChar w:fldCharType="begin"/>
          </w:r>
          <w:r w:rsidRPr="00F026EC">
            <w:rPr>
              <w:sz w:val="24"/>
              <w:szCs w:val="24"/>
            </w:rPr>
            <w:instrText xml:space="preserve"> TOC \o "1-3" \h \z \u </w:instrText>
          </w:r>
          <w:r w:rsidRPr="00F026EC">
            <w:rPr>
              <w:sz w:val="24"/>
              <w:szCs w:val="24"/>
            </w:rPr>
            <w:fldChar w:fldCharType="separate"/>
          </w:r>
          <w:hyperlink w:anchor="_Toc534904226" w:history="1">
            <w:r w:rsidR="00964E10" w:rsidRPr="00F026EC">
              <w:rPr>
                <w:rStyle w:val="Hipervnculo"/>
                <w:rFonts w:eastAsia="Times New Roman"/>
                <w:sz w:val="24"/>
                <w:szCs w:val="24"/>
              </w:rPr>
              <w:t>I.</w:t>
            </w:r>
            <w:r w:rsidR="00964E10" w:rsidRPr="00F026EC">
              <w:rPr>
                <w:rFonts w:eastAsiaTheme="minorEastAsia"/>
                <w:sz w:val="24"/>
                <w:szCs w:val="24"/>
                <w:lang w:eastAsia="es-MX"/>
              </w:rPr>
              <w:tab/>
            </w:r>
            <w:r w:rsidR="00964E10" w:rsidRPr="00F026EC">
              <w:rPr>
                <w:rStyle w:val="Hipervnculo"/>
                <w:rFonts w:eastAsia="Times New Roman"/>
                <w:sz w:val="24"/>
                <w:szCs w:val="24"/>
              </w:rPr>
              <w:t>Consideraciones Generales</w:t>
            </w:r>
            <w:r w:rsidR="00964E10" w:rsidRPr="00F026EC">
              <w:rPr>
                <w:webHidden/>
                <w:sz w:val="24"/>
                <w:szCs w:val="24"/>
              </w:rPr>
              <w:tab/>
            </w:r>
            <w:r w:rsidR="00964E10" w:rsidRPr="00F026EC">
              <w:rPr>
                <w:webHidden/>
                <w:sz w:val="24"/>
                <w:szCs w:val="24"/>
              </w:rPr>
              <w:fldChar w:fldCharType="begin"/>
            </w:r>
            <w:r w:rsidR="00964E10" w:rsidRPr="00F026EC">
              <w:rPr>
                <w:webHidden/>
                <w:sz w:val="24"/>
                <w:szCs w:val="24"/>
              </w:rPr>
              <w:instrText xml:space="preserve"> PAGEREF _Toc534904226 \h </w:instrText>
            </w:r>
            <w:r w:rsidR="00964E10" w:rsidRPr="00F026EC">
              <w:rPr>
                <w:webHidden/>
                <w:sz w:val="24"/>
                <w:szCs w:val="24"/>
              </w:rPr>
            </w:r>
            <w:r w:rsidR="00964E10" w:rsidRPr="00F026EC">
              <w:rPr>
                <w:webHidden/>
                <w:sz w:val="24"/>
                <w:szCs w:val="24"/>
              </w:rPr>
              <w:fldChar w:fldCharType="separate"/>
            </w:r>
            <w:r w:rsidR="00964E10" w:rsidRPr="00F026EC">
              <w:rPr>
                <w:webHidden/>
                <w:sz w:val="24"/>
                <w:szCs w:val="24"/>
              </w:rPr>
              <w:t>1</w:t>
            </w:r>
            <w:r w:rsidR="00964E10" w:rsidRPr="00F026EC">
              <w:rPr>
                <w:webHidden/>
                <w:sz w:val="24"/>
                <w:szCs w:val="24"/>
              </w:rPr>
              <w:fldChar w:fldCharType="end"/>
            </w:r>
          </w:hyperlink>
        </w:p>
        <w:p w:rsidR="00964E10" w:rsidRPr="00F026EC" w:rsidRDefault="004F2B19">
          <w:pPr>
            <w:pStyle w:val="TDC1"/>
            <w:rPr>
              <w:rFonts w:eastAsiaTheme="minorEastAsia"/>
              <w:sz w:val="24"/>
              <w:szCs w:val="24"/>
              <w:lang w:eastAsia="es-MX"/>
            </w:rPr>
          </w:pPr>
          <w:hyperlink w:anchor="_Toc534904227" w:history="1">
            <w:r w:rsidR="00964E10" w:rsidRPr="00F026EC">
              <w:rPr>
                <w:rStyle w:val="Hipervnculo"/>
                <w:rFonts w:eastAsia="Calibri"/>
                <w:sz w:val="24"/>
                <w:szCs w:val="24"/>
                <w:lang w:val="es-ES"/>
              </w:rPr>
              <w:t>II.</w:t>
            </w:r>
            <w:r w:rsidR="00964E10" w:rsidRPr="00F026EC">
              <w:rPr>
                <w:rFonts w:eastAsiaTheme="minorEastAsia"/>
                <w:sz w:val="24"/>
                <w:szCs w:val="24"/>
                <w:lang w:eastAsia="es-MX"/>
              </w:rPr>
              <w:tab/>
            </w:r>
            <w:r w:rsidR="00964E10" w:rsidRPr="00F026EC">
              <w:rPr>
                <w:rStyle w:val="Hipervnculo"/>
                <w:rFonts w:eastAsia="Calibri"/>
                <w:sz w:val="24"/>
                <w:szCs w:val="24"/>
                <w:lang w:val="es-ES"/>
              </w:rPr>
              <w:t>De los requerimientos planteados en el recurso de revisión.</w:t>
            </w:r>
            <w:r w:rsidR="00964E10" w:rsidRPr="00F026EC">
              <w:rPr>
                <w:webHidden/>
                <w:sz w:val="24"/>
                <w:szCs w:val="24"/>
              </w:rPr>
              <w:tab/>
            </w:r>
            <w:r w:rsidR="00964E10" w:rsidRPr="00F026EC">
              <w:rPr>
                <w:webHidden/>
                <w:sz w:val="24"/>
                <w:szCs w:val="24"/>
              </w:rPr>
              <w:fldChar w:fldCharType="begin"/>
            </w:r>
            <w:r w:rsidR="00964E10" w:rsidRPr="00F026EC">
              <w:rPr>
                <w:webHidden/>
                <w:sz w:val="24"/>
                <w:szCs w:val="24"/>
              </w:rPr>
              <w:instrText xml:space="preserve"> PAGEREF _Toc534904227 \h </w:instrText>
            </w:r>
            <w:r w:rsidR="00964E10" w:rsidRPr="00F026EC">
              <w:rPr>
                <w:webHidden/>
                <w:sz w:val="24"/>
                <w:szCs w:val="24"/>
              </w:rPr>
            </w:r>
            <w:r w:rsidR="00964E10" w:rsidRPr="00F026EC">
              <w:rPr>
                <w:webHidden/>
                <w:sz w:val="24"/>
                <w:szCs w:val="24"/>
              </w:rPr>
              <w:fldChar w:fldCharType="separate"/>
            </w:r>
            <w:r w:rsidR="00964E10" w:rsidRPr="00F026EC">
              <w:rPr>
                <w:webHidden/>
                <w:sz w:val="24"/>
                <w:szCs w:val="24"/>
              </w:rPr>
              <w:t>2</w:t>
            </w:r>
            <w:r w:rsidR="00964E10" w:rsidRPr="00F026EC">
              <w:rPr>
                <w:webHidden/>
                <w:sz w:val="24"/>
                <w:szCs w:val="24"/>
              </w:rPr>
              <w:fldChar w:fldCharType="end"/>
            </w:r>
          </w:hyperlink>
        </w:p>
        <w:p w:rsidR="00964E10" w:rsidRPr="00F026EC" w:rsidRDefault="004F2B19" w:rsidP="00F026EC">
          <w:pPr>
            <w:pStyle w:val="TDC2"/>
            <w:rPr>
              <w:rFonts w:eastAsiaTheme="minorEastAsia"/>
              <w:lang w:eastAsia="es-MX"/>
            </w:rPr>
          </w:pPr>
          <w:hyperlink w:anchor="_Toc534904228" w:history="1">
            <w:r w:rsidR="00964E10" w:rsidRPr="00F026EC">
              <w:rPr>
                <w:rStyle w:val="Hipervnculo"/>
              </w:rPr>
              <w:t>III. Del Derecho de Acceso a la información pública y el deber de motivar.</w:t>
            </w:r>
            <w:r w:rsidR="00964E10" w:rsidRPr="00F026EC">
              <w:rPr>
                <w:webHidden/>
              </w:rPr>
              <w:tab/>
            </w:r>
            <w:r w:rsidR="00964E10" w:rsidRPr="00F026EC">
              <w:rPr>
                <w:webHidden/>
              </w:rPr>
              <w:fldChar w:fldCharType="begin"/>
            </w:r>
            <w:r w:rsidR="00964E10" w:rsidRPr="00F026EC">
              <w:rPr>
                <w:webHidden/>
              </w:rPr>
              <w:instrText xml:space="preserve"> PAGEREF _Toc534904228 \h </w:instrText>
            </w:r>
            <w:r w:rsidR="00964E10" w:rsidRPr="00F026EC">
              <w:rPr>
                <w:webHidden/>
              </w:rPr>
            </w:r>
            <w:r w:rsidR="00964E10" w:rsidRPr="00F026EC">
              <w:rPr>
                <w:webHidden/>
              </w:rPr>
              <w:fldChar w:fldCharType="separate"/>
            </w:r>
            <w:r w:rsidR="00964E10" w:rsidRPr="00F026EC">
              <w:rPr>
                <w:webHidden/>
              </w:rPr>
              <w:t>6</w:t>
            </w:r>
            <w:r w:rsidR="00964E10" w:rsidRPr="00F026EC">
              <w:rPr>
                <w:webHidden/>
              </w:rPr>
              <w:fldChar w:fldCharType="end"/>
            </w:r>
          </w:hyperlink>
        </w:p>
        <w:p w:rsidR="00964E10" w:rsidRPr="00F026EC" w:rsidRDefault="004F2B19">
          <w:pPr>
            <w:pStyle w:val="TDC1"/>
            <w:rPr>
              <w:rFonts w:eastAsiaTheme="minorEastAsia"/>
              <w:sz w:val="24"/>
              <w:szCs w:val="24"/>
              <w:lang w:eastAsia="es-MX"/>
            </w:rPr>
          </w:pPr>
          <w:hyperlink w:anchor="_Toc534904229" w:history="1">
            <w:r w:rsidR="00964E10" w:rsidRPr="00F026EC">
              <w:rPr>
                <w:rStyle w:val="Hipervnculo"/>
                <w:rFonts w:eastAsia="Calibri"/>
                <w:sz w:val="24"/>
                <w:szCs w:val="24"/>
              </w:rPr>
              <w:t>IV. Del Pronunciamiento simple</w:t>
            </w:r>
            <w:r w:rsidR="00964E10" w:rsidRPr="00F026EC">
              <w:rPr>
                <w:webHidden/>
                <w:sz w:val="24"/>
                <w:szCs w:val="24"/>
              </w:rPr>
              <w:tab/>
            </w:r>
            <w:r w:rsidR="00964E10" w:rsidRPr="00F026EC">
              <w:rPr>
                <w:webHidden/>
                <w:sz w:val="24"/>
                <w:szCs w:val="24"/>
              </w:rPr>
              <w:fldChar w:fldCharType="begin"/>
            </w:r>
            <w:r w:rsidR="00964E10" w:rsidRPr="00F026EC">
              <w:rPr>
                <w:webHidden/>
                <w:sz w:val="24"/>
                <w:szCs w:val="24"/>
              </w:rPr>
              <w:instrText xml:space="preserve"> PAGEREF _Toc534904229 \h </w:instrText>
            </w:r>
            <w:r w:rsidR="00964E10" w:rsidRPr="00F026EC">
              <w:rPr>
                <w:webHidden/>
                <w:sz w:val="24"/>
                <w:szCs w:val="24"/>
              </w:rPr>
            </w:r>
            <w:r w:rsidR="00964E10" w:rsidRPr="00F026EC">
              <w:rPr>
                <w:webHidden/>
                <w:sz w:val="24"/>
                <w:szCs w:val="24"/>
              </w:rPr>
              <w:fldChar w:fldCharType="separate"/>
            </w:r>
            <w:r w:rsidR="00964E10" w:rsidRPr="00F026EC">
              <w:rPr>
                <w:webHidden/>
                <w:sz w:val="24"/>
                <w:szCs w:val="24"/>
              </w:rPr>
              <w:t>11</w:t>
            </w:r>
            <w:r w:rsidR="00964E10" w:rsidRPr="00F026EC">
              <w:rPr>
                <w:webHidden/>
                <w:sz w:val="24"/>
                <w:szCs w:val="24"/>
              </w:rPr>
              <w:fldChar w:fldCharType="end"/>
            </w:r>
          </w:hyperlink>
        </w:p>
        <w:p w:rsidR="00964E10" w:rsidRPr="00F026EC" w:rsidRDefault="004F2B19">
          <w:pPr>
            <w:pStyle w:val="TDC1"/>
            <w:rPr>
              <w:rFonts w:asciiTheme="minorHAnsi" w:eastAsiaTheme="minorEastAsia" w:hAnsiTheme="minorHAnsi"/>
              <w:sz w:val="22"/>
              <w:szCs w:val="22"/>
              <w:lang w:eastAsia="es-MX"/>
            </w:rPr>
          </w:pPr>
          <w:hyperlink w:anchor="_Toc534904230" w:history="1">
            <w:r w:rsidR="00964E10" w:rsidRPr="00F026EC">
              <w:rPr>
                <w:rStyle w:val="Hipervnculo"/>
                <w:rFonts w:eastAsia="Calibri"/>
                <w:sz w:val="24"/>
                <w:szCs w:val="24"/>
              </w:rPr>
              <w:t>V. Conclusión.</w:t>
            </w:r>
            <w:r w:rsidR="00964E10" w:rsidRPr="00F026EC">
              <w:rPr>
                <w:webHidden/>
                <w:sz w:val="24"/>
                <w:szCs w:val="24"/>
              </w:rPr>
              <w:tab/>
            </w:r>
            <w:r w:rsidR="00964E10" w:rsidRPr="00F026EC">
              <w:rPr>
                <w:webHidden/>
                <w:sz w:val="24"/>
                <w:szCs w:val="24"/>
              </w:rPr>
              <w:fldChar w:fldCharType="begin"/>
            </w:r>
            <w:r w:rsidR="00964E10" w:rsidRPr="00F026EC">
              <w:rPr>
                <w:webHidden/>
                <w:sz w:val="24"/>
                <w:szCs w:val="24"/>
              </w:rPr>
              <w:instrText xml:space="preserve"> PAGEREF _Toc534904230 \h </w:instrText>
            </w:r>
            <w:r w:rsidR="00964E10" w:rsidRPr="00F026EC">
              <w:rPr>
                <w:webHidden/>
                <w:sz w:val="24"/>
                <w:szCs w:val="24"/>
              </w:rPr>
            </w:r>
            <w:r w:rsidR="00964E10" w:rsidRPr="00F026EC">
              <w:rPr>
                <w:webHidden/>
                <w:sz w:val="24"/>
                <w:szCs w:val="24"/>
              </w:rPr>
              <w:fldChar w:fldCharType="separate"/>
            </w:r>
            <w:r w:rsidR="00964E10" w:rsidRPr="00F026EC">
              <w:rPr>
                <w:webHidden/>
                <w:sz w:val="24"/>
                <w:szCs w:val="24"/>
              </w:rPr>
              <w:t>29</w:t>
            </w:r>
            <w:r w:rsidR="00964E10" w:rsidRPr="00F026EC">
              <w:rPr>
                <w:webHidden/>
                <w:sz w:val="24"/>
                <w:szCs w:val="24"/>
              </w:rPr>
              <w:fldChar w:fldCharType="end"/>
            </w:r>
          </w:hyperlink>
        </w:p>
        <w:p w:rsidR="00E6179D" w:rsidRPr="00F026EC" w:rsidRDefault="00E6179D" w:rsidP="00B73B30">
          <w:pPr>
            <w:spacing w:line="360" w:lineRule="auto"/>
            <w:rPr>
              <w:rFonts w:ascii="Palatino Linotype" w:hAnsi="Palatino Linotype"/>
              <w:b/>
              <w:sz w:val="24"/>
              <w:szCs w:val="24"/>
            </w:rPr>
          </w:pPr>
          <w:r w:rsidRPr="00F026EC">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534904226"/>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427B79" w:rsidRDefault="00E6179D" w:rsidP="00EF3EA6">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F44EAA">
        <w:rPr>
          <w:rFonts w:ascii="Palatino Linotype" w:eastAsia="Calibri" w:hAnsi="Palatino Linotype" w:cs="Arial"/>
          <w:sz w:val="24"/>
          <w:szCs w:val="24"/>
        </w:rPr>
        <w:lastRenderedPageBreak/>
        <w:t xml:space="preserve">Primera </w:t>
      </w:r>
      <w:r w:rsidRPr="00427B79">
        <w:rPr>
          <w:rFonts w:ascii="Palatino Linotype" w:eastAsia="Calibri" w:hAnsi="Palatino Linotype" w:cs="Arial"/>
          <w:sz w:val="24"/>
          <w:szCs w:val="24"/>
        </w:rPr>
        <w:t xml:space="preserve">Sesión Ordinaria celebrada el </w:t>
      </w:r>
      <w:r w:rsidRPr="00F44EAA">
        <w:rPr>
          <w:rFonts w:ascii="Palatino Linotype" w:eastAsia="Calibri" w:hAnsi="Palatino Linotype" w:cs="Arial"/>
          <w:sz w:val="24"/>
          <w:szCs w:val="24"/>
        </w:rPr>
        <w:t xml:space="preserve">día </w:t>
      </w:r>
      <w:r w:rsidR="00F44EAA" w:rsidRPr="00F44EAA">
        <w:rPr>
          <w:rFonts w:ascii="Palatino Linotype" w:eastAsia="Calibri" w:hAnsi="Palatino Linotype" w:cs="Arial"/>
          <w:sz w:val="24"/>
          <w:szCs w:val="24"/>
        </w:rPr>
        <w:t>nueve</w:t>
      </w:r>
      <w:r w:rsidRPr="00F44EAA">
        <w:rPr>
          <w:rFonts w:ascii="Palatino Linotype" w:eastAsia="Calibri" w:hAnsi="Palatino Linotype" w:cs="Arial"/>
          <w:sz w:val="24"/>
          <w:szCs w:val="24"/>
        </w:rPr>
        <w:t xml:space="preserve"> (</w:t>
      </w:r>
      <w:r w:rsidR="00F44EAA" w:rsidRPr="00F44EAA">
        <w:rPr>
          <w:rFonts w:ascii="Palatino Linotype" w:eastAsia="Calibri" w:hAnsi="Palatino Linotype" w:cs="Arial"/>
          <w:sz w:val="24"/>
          <w:szCs w:val="24"/>
        </w:rPr>
        <w:t>09</w:t>
      </w:r>
      <w:r w:rsidRPr="00F44EAA">
        <w:rPr>
          <w:rFonts w:ascii="Palatino Linotype" w:eastAsia="Calibri" w:hAnsi="Palatino Linotype" w:cs="Arial"/>
          <w:sz w:val="24"/>
          <w:szCs w:val="24"/>
        </w:rPr>
        <w:t xml:space="preserve">) de </w:t>
      </w:r>
      <w:r w:rsidR="00F44EAA" w:rsidRPr="00F44EAA">
        <w:rPr>
          <w:rFonts w:ascii="Palatino Linotype" w:eastAsia="Calibri" w:hAnsi="Palatino Linotype" w:cs="Arial"/>
          <w:sz w:val="24"/>
          <w:szCs w:val="24"/>
        </w:rPr>
        <w:t>enero</w:t>
      </w:r>
      <w:r w:rsidR="008825D2" w:rsidRPr="00F44EAA">
        <w:rPr>
          <w:rFonts w:ascii="Palatino Linotype" w:eastAsia="Calibri" w:hAnsi="Palatino Linotype" w:cs="Arial"/>
          <w:sz w:val="24"/>
          <w:szCs w:val="24"/>
        </w:rPr>
        <w:t xml:space="preserve"> </w:t>
      </w:r>
      <w:r w:rsidRPr="00F44EAA">
        <w:rPr>
          <w:rFonts w:ascii="Palatino Linotype" w:eastAsia="Calibri" w:hAnsi="Palatino Linotype" w:cs="Arial"/>
          <w:sz w:val="24"/>
          <w:szCs w:val="24"/>
        </w:rPr>
        <w:t>de</w:t>
      </w:r>
      <w:r w:rsidR="001F0E58" w:rsidRPr="00F44EAA">
        <w:rPr>
          <w:rFonts w:ascii="Palatino Linotype" w:eastAsia="Calibri" w:hAnsi="Palatino Linotype" w:cs="Arial"/>
          <w:sz w:val="24"/>
          <w:szCs w:val="24"/>
        </w:rPr>
        <w:t>l</w:t>
      </w:r>
      <w:r w:rsidRPr="00F44EAA">
        <w:rPr>
          <w:rFonts w:ascii="Palatino Linotype" w:eastAsia="Calibri" w:hAnsi="Palatino Linotype" w:cs="Arial"/>
          <w:sz w:val="24"/>
          <w:szCs w:val="24"/>
        </w:rPr>
        <w:t xml:space="preserve"> </w:t>
      </w:r>
      <w:r w:rsidR="001F0E58" w:rsidRPr="00F44EAA">
        <w:rPr>
          <w:rFonts w:ascii="Palatino Linotype" w:eastAsia="Calibri" w:hAnsi="Palatino Linotype" w:cs="Arial"/>
          <w:sz w:val="24"/>
          <w:szCs w:val="24"/>
        </w:rPr>
        <w:t xml:space="preserve">dos mil </w:t>
      </w:r>
      <w:r w:rsidR="00F44EAA" w:rsidRPr="00F44EAA">
        <w:rPr>
          <w:rFonts w:ascii="Palatino Linotype" w:eastAsia="Calibri" w:hAnsi="Palatino Linotype" w:cs="Arial"/>
          <w:sz w:val="24"/>
          <w:szCs w:val="24"/>
        </w:rPr>
        <w:t>diecinueve</w:t>
      </w:r>
      <w:r w:rsidRPr="00427B79">
        <w:rPr>
          <w:rFonts w:ascii="Palatino Linotype" w:eastAsia="Calibri" w:hAnsi="Palatino Linotype" w:cs="Arial"/>
          <w:sz w:val="24"/>
          <w:szCs w:val="24"/>
        </w:rPr>
        <w:t xml:space="preserve">, en el recurso de revisión interpuesto </w:t>
      </w:r>
      <w:r w:rsidRPr="00772B4B">
        <w:rPr>
          <w:rFonts w:ascii="Palatino Linotype" w:eastAsia="Calibri" w:hAnsi="Palatino Linotype" w:cs="Arial"/>
          <w:sz w:val="24"/>
          <w:szCs w:val="24"/>
        </w:rPr>
        <w:t>po</w:t>
      </w:r>
      <w:r w:rsidR="004C57A6">
        <w:rPr>
          <w:rFonts w:ascii="Palatino Linotype" w:eastAsia="Calibri" w:hAnsi="Palatino Linotype" w:cs="Arial"/>
          <w:sz w:val="24"/>
          <w:szCs w:val="24"/>
        </w:rPr>
        <w:t>r</w:t>
      </w:r>
      <w:r w:rsidR="00436541" w:rsidRPr="00436541">
        <w:rPr>
          <w:rFonts w:ascii="Palatino Linotype" w:hAnsi="Palatino Linotype" w:cs="Arial"/>
          <w:b/>
        </w:rPr>
        <w:t xml:space="preserve"> </w:t>
      </w:r>
      <w:r w:rsidR="00F44EAA" w:rsidRPr="00F44EAA">
        <w:rPr>
          <w:rFonts w:ascii="Palatino Linotype" w:hAnsi="Palatino Linotype" w:cs="Arial"/>
        </w:rPr>
        <w:t>el particular</w:t>
      </w:r>
      <w:r w:rsidR="00F44EAA" w:rsidRPr="00F44EAA">
        <w:rPr>
          <w:rFonts w:ascii="Palatino Linotype" w:hAnsi="Palatino Linotype" w:cs="Arial"/>
          <w:b/>
        </w:rPr>
        <w:t>,</w:t>
      </w:r>
      <w:r w:rsidR="00436541">
        <w:rPr>
          <w:rFonts w:ascii="Palatino Linotype" w:hAnsi="Palatino Linotype"/>
          <w:b/>
          <w:lang w:val="es-ES_tradnl"/>
        </w:rPr>
        <w:t xml:space="preserve"> </w:t>
      </w:r>
      <w:r w:rsidR="003E0648">
        <w:rPr>
          <w:rFonts w:ascii="Palatino Linotype" w:eastAsia="Calibri" w:hAnsi="Palatino Linotype" w:cs="Arial"/>
          <w:sz w:val="24"/>
          <w:szCs w:val="24"/>
        </w:rPr>
        <w:t>en contra de la respuesta</w:t>
      </w:r>
      <w:r w:rsidR="0036141D">
        <w:rPr>
          <w:rFonts w:ascii="Palatino Linotype" w:eastAsia="Calibri" w:hAnsi="Palatino Linotype" w:cs="Arial"/>
          <w:sz w:val="24"/>
          <w:szCs w:val="24"/>
        </w:rPr>
        <w:t xml:space="preserve"> </w:t>
      </w:r>
      <w:r w:rsidR="0036141D" w:rsidRPr="00F44EAA">
        <w:rPr>
          <w:rFonts w:ascii="Palatino Linotype" w:eastAsia="Calibri" w:hAnsi="Palatino Linotype" w:cs="Arial"/>
          <w:sz w:val="24"/>
          <w:szCs w:val="24"/>
        </w:rPr>
        <w:t>de</w:t>
      </w:r>
      <w:r w:rsidR="00E10CF1" w:rsidRPr="00F44EAA">
        <w:rPr>
          <w:rFonts w:ascii="Palatino Linotype" w:eastAsia="Calibri" w:hAnsi="Palatino Linotype" w:cs="Arial"/>
          <w:sz w:val="24"/>
          <w:szCs w:val="24"/>
        </w:rPr>
        <w:t>l</w:t>
      </w:r>
      <w:r w:rsidR="00C66C13" w:rsidRPr="00F44EAA">
        <w:rPr>
          <w:rFonts w:ascii="Palatino Linotype" w:eastAsia="Calibri" w:hAnsi="Palatino Linotype" w:cs="Arial"/>
          <w:sz w:val="24"/>
          <w:szCs w:val="24"/>
        </w:rPr>
        <w:t xml:space="preserve"> </w:t>
      </w:r>
      <w:r w:rsidR="00E10CF1" w:rsidRPr="00F44EAA">
        <w:rPr>
          <w:rFonts w:ascii="Palatino Linotype" w:eastAsia="Calibri" w:hAnsi="Palatino Linotype" w:cs="Arial"/>
          <w:sz w:val="24"/>
          <w:szCs w:val="24"/>
        </w:rPr>
        <w:t xml:space="preserve"> </w:t>
      </w:r>
      <w:r w:rsidR="00497F7C" w:rsidRPr="00F44EAA">
        <w:rPr>
          <w:rFonts w:ascii="Palatino Linotype" w:hAnsi="Palatino Linotype" w:cs="Arial"/>
          <w:b/>
          <w:sz w:val="24"/>
          <w:szCs w:val="24"/>
        </w:rPr>
        <w:t>Ayuntamiento</w:t>
      </w:r>
      <w:r w:rsidR="00F44EAA" w:rsidRPr="00F44EAA">
        <w:rPr>
          <w:rFonts w:ascii="Palatino Linotype" w:hAnsi="Palatino Linotype" w:cs="Arial"/>
          <w:b/>
        </w:rPr>
        <w:t xml:space="preserve"> </w:t>
      </w:r>
      <w:r w:rsidR="00F44EAA">
        <w:rPr>
          <w:rFonts w:ascii="Palatino Linotype" w:hAnsi="Palatino Linotype" w:cs="Arial"/>
          <w:b/>
        </w:rPr>
        <w:t xml:space="preserve"> de</w:t>
      </w:r>
      <w:r w:rsidR="006D1B17" w:rsidRPr="006D1B17">
        <w:rPr>
          <w:rFonts w:ascii="Palatino Linotype" w:hAnsi="Palatino Linotype" w:cs="Arial"/>
          <w:b/>
        </w:rPr>
        <w:t xml:space="preserve"> </w:t>
      </w:r>
      <w:r w:rsidR="006D1B17">
        <w:rPr>
          <w:rFonts w:ascii="Palatino Linotype" w:hAnsi="Palatino Linotype" w:cs="Arial"/>
          <w:b/>
        </w:rPr>
        <w:t>Naucalpan de Juárez</w:t>
      </w:r>
      <w:r w:rsidR="00436541" w:rsidRPr="004D379F">
        <w:rPr>
          <w:rFonts w:ascii="Palatino Linotype" w:hAnsi="Palatino Linotype" w:cs="Arial"/>
        </w:rPr>
        <w:t>,</w:t>
      </w:r>
      <w:r w:rsidR="00EF21BF">
        <w:rPr>
          <w:rFonts w:ascii="Palatino Linotype" w:eastAsia="Calibri" w:hAnsi="Palatino Linotype" w:cs="Arial"/>
          <w:sz w:val="24"/>
          <w:szCs w:val="24"/>
        </w:rPr>
        <w:t xml:space="preserve"> </w:t>
      </w:r>
      <w:r w:rsidR="00EF3EA6" w:rsidRPr="00D549C7">
        <w:rPr>
          <w:rFonts w:ascii="Palatino Linotype" w:hAnsi="Palatino Linotype" w:cs="Arial"/>
          <w:b/>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D36317" w:rsidRPr="00F44EAA">
        <w:rPr>
          <w:rFonts w:ascii="Palatino Linotype" w:hAnsi="Palatino Linotype" w:cs="Arial"/>
          <w:b/>
          <w:bCs/>
          <w:sz w:val="23"/>
          <w:szCs w:val="23"/>
        </w:rPr>
        <w:t>0</w:t>
      </w:r>
      <w:r w:rsidR="006D1B17">
        <w:rPr>
          <w:rFonts w:ascii="Palatino Linotype" w:hAnsi="Palatino Linotype" w:cs="Arial"/>
          <w:b/>
          <w:bCs/>
          <w:sz w:val="23"/>
          <w:szCs w:val="23"/>
        </w:rPr>
        <w:t>3899</w:t>
      </w:r>
      <w:r w:rsidR="00EF3EA6" w:rsidRPr="00F44EAA">
        <w:rPr>
          <w:rFonts w:ascii="Palatino Linotype" w:hAnsi="Palatino Linotype" w:cs="Arial"/>
          <w:b/>
          <w:bCs/>
          <w:sz w:val="23"/>
          <w:szCs w:val="23"/>
        </w:rPr>
        <w:t>/INFOEM/IP/RR/2018</w:t>
      </w:r>
      <w:r w:rsidR="00436541" w:rsidRPr="00F44EAA">
        <w:rPr>
          <w:rFonts w:ascii="Palatino Linotype" w:hAnsi="Palatino Linotype" w:cs="Arial"/>
          <w:b/>
          <w:bCs/>
          <w:sz w:val="23"/>
          <w:szCs w:val="23"/>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w:t>
      </w:r>
      <w:r w:rsidRPr="00F44EAA">
        <w:rPr>
          <w:rFonts w:ascii="Palatino Linotype" w:eastAsia="Calibri" w:hAnsi="Palatino Linotype" w:cs="Arial"/>
          <w:sz w:val="24"/>
          <w:szCs w:val="24"/>
        </w:rPr>
        <w:t xml:space="preserve">determina </w:t>
      </w:r>
      <w:r w:rsidR="006D1B17">
        <w:rPr>
          <w:rFonts w:ascii="Palatino Linotype" w:eastAsia="Calibri" w:hAnsi="Palatino Linotype" w:cs="Arial"/>
          <w:b/>
          <w:sz w:val="24"/>
          <w:szCs w:val="24"/>
        </w:rPr>
        <w:t>REVOCAR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1" w:name="_Toc534904227"/>
      <w:r w:rsidRPr="00427B79">
        <w:rPr>
          <w:rFonts w:eastAsia="Calibri"/>
          <w:color w:val="auto"/>
          <w:szCs w:val="24"/>
          <w:lang w:val="es-ES"/>
        </w:rPr>
        <w:t>De los requerimientos planteados en el recurso de revisión.</w:t>
      </w:r>
      <w:bookmarkEnd w:id="1"/>
    </w:p>
    <w:p w:rsidR="00E6179D" w:rsidRPr="00427B79" w:rsidRDefault="00E6179D" w:rsidP="00E6179D">
      <w:pPr>
        <w:pStyle w:val="Prrafodelista"/>
        <w:ind w:left="0"/>
        <w:rPr>
          <w:rFonts w:ascii="Palatino Linotype" w:eastAsia="Calibri" w:hAnsi="Palatino Linotype" w:cs="Arial"/>
          <w:sz w:val="24"/>
          <w:szCs w:val="24"/>
          <w:lang w:val="es-ES"/>
        </w:rPr>
      </w:pPr>
    </w:p>
    <w:p w:rsidR="006D1B17" w:rsidRPr="006D1B17" w:rsidRDefault="00E6179D" w:rsidP="000865EE">
      <w:pPr>
        <w:autoSpaceDE w:val="0"/>
        <w:autoSpaceDN w:val="0"/>
        <w:adjustRightInd w:val="0"/>
        <w:spacing w:line="360" w:lineRule="auto"/>
        <w:ind w:left="567" w:right="616"/>
        <w:jc w:val="both"/>
        <w:rPr>
          <w:rFonts w:ascii="Palatino Linotype" w:eastAsia="Times New Roman" w:hAnsi="Palatino Linotype" w:cs="Arial"/>
          <w:i/>
          <w:lang w:val="es-ES" w:eastAsia="es-ES"/>
        </w:rPr>
      </w:pPr>
      <w:r w:rsidRPr="00B21F85">
        <w:rPr>
          <w:rFonts w:ascii="Palatino Linotype" w:eastAsia="Calibri" w:hAnsi="Palatino Linotype" w:cs="Arial"/>
          <w:sz w:val="24"/>
          <w:szCs w:val="24"/>
          <w:lang w:val="es-ES"/>
        </w:rPr>
        <w:t xml:space="preserve">En </w:t>
      </w:r>
      <w:r w:rsidRPr="00B21F85">
        <w:rPr>
          <w:rFonts w:ascii="Palatino Linotype" w:eastAsia="Calibri" w:hAnsi="Palatino Linotype" w:cs="Times New Roman"/>
          <w:sz w:val="24"/>
          <w:szCs w:val="24"/>
        </w:rPr>
        <w:t>ejercicio del derecho constitucional que le asiste al particular, formuló una solicitu</w:t>
      </w:r>
      <w:r w:rsidR="003E0648" w:rsidRPr="00B21F85">
        <w:rPr>
          <w:rFonts w:ascii="Palatino Linotype" w:eastAsia="Calibri" w:hAnsi="Palatino Linotype" w:cs="Times New Roman"/>
          <w:sz w:val="24"/>
          <w:szCs w:val="24"/>
        </w:rPr>
        <w:t>d de información dirigida hacia</w:t>
      </w:r>
      <w:r w:rsidR="00497F7C" w:rsidRPr="00B21F85">
        <w:rPr>
          <w:rFonts w:ascii="Palatino Linotype" w:eastAsia="Calibri" w:hAnsi="Palatino Linotype" w:cs="Times New Roman"/>
          <w:sz w:val="24"/>
          <w:szCs w:val="24"/>
        </w:rPr>
        <w:t xml:space="preserve"> el</w:t>
      </w:r>
      <w:r w:rsidR="00497F7C" w:rsidRPr="00B21F85">
        <w:rPr>
          <w:rFonts w:ascii="Palatino Linotype" w:hAnsi="Palatino Linotype" w:cs="Arial"/>
          <w:b/>
          <w:sz w:val="24"/>
          <w:szCs w:val="24"/>
        </w:rPr>
        <w:t xml:space="preserve"> </w:t>
      </w:r>
      <w:r w:rsidR="00497F7C" w:rsidRPr="00F44EAA">
        <w:rPr>
          <w:rFonts w:ascii="Palatino Linotype" w:hAnsi="Palatino Linotype" w:cs="Arial"/>
          <w:b/>
          <w:sz w:val="24"/>
          <w:szCs w:val="24"/>
        </w:rPr>
        <w:lastRenderedPageBreak/>
        <w:t>Ayuntamiento de</w:t>
      </w:r>
      <w:r w:rsidR="006D1B17" w:rsidRPr="006D1B17">
        <w:rPr>
          <w:rFonts w:ascii="Palatino Linotype" w:hAnsi="Palatino Linotype" w:cs="Arial"/>
          <w:b/>
        </w:rPr>
        <w:t xml:space="preserve"> </w:t>
      </w:r>
      <w:r w:rsidR="006D1B17">
        <w:rPr>
          <w:rFonts w:ascii="Palatino Linotype" w:hAnsi="Palatino Linotype" w:cs="Arial"/>
          <w:b/>
        </w:rPr>
        <w:t>Naucalpan de Juárez</w:t>
      </w:r>
      <w:r w:rsidR="00436541" w:rsidRPr="00F44EAA">
        <w:rPr>
          <w:rFonts w:ascii="Palatino Linotype" w:hAnsi="Palatino Linotype" w:cs="Arial"/>
          <w:b/>
        </w:rPr>
        <w:t>,</w:t>
      </w:r>
      <w:r w:rsidR="00C752C4" w:rsidRPr="00F44EAA">
        <w:rPr>
          <w:rFonts w:ascii="Palatino Linotype" w:hAnsi="Palatino Linotype" w:cs="Arial"/>
        </w:rPr>
        <w:t xml:space="preserve"> </w:t>
      </w:r>
      <w:r w:rsidR="00466F4A" w:rsidRPr="00F44EAA">
        <w:rPr>
          <w:rFonts w:ascii="Palatino Linotype" w:eastAsia="Calibri" w:hAnsi="Palatino Linotype" w:cs="Times New Roman"/>
          <w:sz w:val="24"/>
          <w:szCs w:val="24"/>
        </w:rPr>
        <w:t>en dicha</w:t>
      </w:r>
      <w:r w:rsidR="005C0258" w:rsidRPr="00F44EAA">
        <w:rPr>
          <w:rFonts w:ascii="Palatino Linotype" w:eastAsia="Calibri" w:hAnsi="Palatino Linotype" w:cs="Times New Roman"/>
          <w:sz w:val="24"/>
          <w:szCs w:val="24"/>
        </w:rPr>
        <w:t xml:space="preserve"> solicitud planteó lo </w:t>
      </w:r>
      <w:r w:rsidRPr="00F44EAA">
        <w:rPr>
          <w:rFonts w:ascii="Palatino Linotype" w:eastAsia="Calibri" w:hAnsi="Palatino Linotype" w:cs="Times New Roman"/>
          <w:sz w:val="24"/>
          <w:szCs w:val="24"/>
        </w:rPr>
        <w:t>siguient</w:t>
      </w:r>
      <w:r w:rsidR="00480F5B" w:rsidRPr="00F44EAA">
        <w:rPr>
          <w:rFonts w:ascii="Palatino Linotype" w:eastAsia="Calibri" w:hAnsi="Palatino Linotype" w:cs="Times New Roman"/>
          <w:sz w:val="24"/>
          <w:szCs w:val="24"/>
        </w:rPr>
        <w:t>e</w:t>
      </w:r>
      <w:r w:rsidR="006262ED" w:rsidRPr="00F44EAA">
        <w:rPr>
          <w:rFonts w:ascii="Palatino Linotype" w:eastAsia="Calibri" w:hAnsi="Palatino Linotype" w:cs="Times New Roman"/>
          <w:sz w:val="24"/>
          <w:szCs w:val="24"/>
        </w:rPr>
        <w:t>:</w:t>
      </w:r>
      <w:r w:rsidR="006D1B17" w:rsidRPr="006D1B17">
        <w:rPr>
          <w:rFonts w:ascii="Palatino Linotype" w:eastAsia="Times New Roman" w:hAnsi="Palatino Linotype" w:cs="Times New Roman"/>
          <w:i/>
          <w:lang w:val="es-ES" w:eastAsia="es-ES"/>
        </w:rPr>
        <w:t xml:space="preserve"> “Solicito la nómina de las dos quincenas de marzo 2018, con el nombre de cada servidor público y funcionario, su sueldo y salario bruto sin excedentes o compensaciones. Solicito la nómina de las dos quincenas de marzo 2018, con el nombre de cada servidor público y funcionario y todos los conceptos que forman parte del sobresueldo, compensaciones, horas extras, comisiones, apoyos escolares, vales, apoyos en general, excedentes y similares de cada persona en la nómina, lista de raya, sindicalizados, personal de confianza, policía y similares.” (Sic</w:t>
      </w:r>
      <w:r w:rsidR="006D1B17" w:rsidRPr="006D1B17">
        <w:rPr>
          <w:rFonts w:ascii="Palatino Linotype" w:eastAsia="Times New Roman" w:hAnsi="Palatino Linotype" w:cs="Arial"/>
          <w:i/>
          <w:lang w:val="es-ES" w:eastAsia="es-ES"/>
        </w:rPr>
        <w:t>)</w:t>
      </w:r>
    </w:p>
    <w:p w:rsidR="000E4D6E" w:rsidRPr="006D1B17" w:rsidRDefault="006F081D" w:rsidP="000865EE">
      <w:pPr>
        <w:pStyle w:val="Prrafodelista"/>
        <w:numPr>
          <w:ilvl w:val="0"/>
          <w:numId w:val="1"/>
        </w:numPr>
        <w:autoSpaceDE w:val="0"/>
        <w:autoSpaceDN w:val="0"/>
        <w:adjustRightInd w:val="0"/>
        <w:spacing w:line="360" w:lineRule="auto"/>
        <w:ind w:left="0" w:right="49" w:firstLine="0"/>
        <w:jc w:val="both"/>
        <w:rPr>
          <w:rFonts w:ascii="Palatino Linotype" w:eastAsia="Calibri" w:hAnsi="Palatino Linotype" w:cs="Arial"/>
          <w:sz w:val="24"/>
          <w:szCs w:val="24"/>
        </w:rPr>
      </w:pPr>
      <w:r w:rsidRPr="006D1B17">
        <w:rPr>
          <w:rFonts w:ascii="Palatino Linotype" w:hAnsi="Palatino Linotype"/>
          <w:i/>
          <w:lang w:val="es-ES_tradnl"/>
        </w:rPr>
        <w:t xml:space="preserve"> </w:t>
      </w:r>
      <w:r w:rsidR="00E6179D" w:rsidRPr="006D1B17">
        <w:rPr>
          <w:rFonts w:ascii="Palatino Linotype" w:eastAsia="Calibri" w:hAnsi="Palatino Linotype" w:cs="Arial"/>
          <w:sz w:val="24"/>
          <w:szCs w:val="24"/>
        </w:rPr>
        <w:t xml:space="preserve">Bajo esas consideraciones la Ponencia </w:t>
      </w:r>
      <w:r w:rsidR="00FD1FAD" w:rsidRPr="006D1B17">
        <w:rPr>
          <w:rFonts w:ascii="Palatino Linotype" w:eastAsia="Calibri" w:hAnsi="Palatino Linotype" w:cs="Arial"/>
          <w:sz w:val="24"/>
          <w:szCs w:val="24"/>
        </w:rPr>
        <w:t>que resuelve el recurso de revisión</w:t>
      </w:r>
      <w:r w:rsidR="00E6179D" w:rsidRPr="006D1B17">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6D1B17">
        <w:rPr>
          <w:rFonts w:ascii="Palatino Linotype" w:eastAsia="Calibri" w:hAnsi="Palatino Linotype" w:cs="Arial"/>
          <w:sz w:val="24"/>
          <w:szCs w:val="24"/>
        </w:rPr>
        <w:t>verificar si existe fu</w:t>
      </w:r>
      <w:r w:rsidR="003E0648" w:rsidRPr="006D1B17">
        <w:rPr>
          <w:rFonts w:ascii="Palatino Linotype" w:eastAsia="Calibri" w:hAnsi="Palatino Linotype" w:cs="Arial"/>
          <w:sz w:val="24"/>
          <w:szCs w:val="24"/>
        </w:rPr>
        <w:t>ente obligacional por parte de</w:t>
      </w:r>
      <w:r w:rsidR="00720D2F" w:rsidRPr="006D1B17">
        <w:rPr>
          <w:rFonts w:ascii="Palatino Linotype" w:eastAsia="Calibri" w:hAnsi="Palatino Linotype" w:cs="Arial"/>
          <w:sz w:val="24"/>
          <w:szCs w:val="24"/>
        </w:rPr>
        <w:t>l</w:t>
      </w:r>
      <w:r w:rsidR="00930786" w:rsidRPr="006D1B17">
        <w:rPr>
          <w:rFonts w:ascii="Palatino Linotype" w:hAnsi="Palatino Linotype" w:cs="Arial"/>
          <w:b/>
          <w:sz w:val="24"/>
          <w:szCs w:val="24"/>
        </w:rPr>
        <w:t xml:space="preserve"> Ayuntamiento de</w:t>
      </w:r>
      <w:r w:rsidR="006D1B17" w:rsidRPr="006D1B17">
        <w:rPr>
          <w:rFonts w:ascii="Palatino Linotype" w:hAnsi="Palatino Linotype" w:cs="Arial"/>
          <w:b/>
        </w:rPr>
        <w:t xml:space="preserve"> </w:t>
      </w:r>
      <w:r w:rsidR="006D1B17">
        <w:rPr>
          <w:rFonts w:ascii="Palatino Linotype" w:hAnsi="Palatino Linotype" w:cs="Arial"/>
          <w:b/>
        </w:rPr>
        <w:t>Naucalpan de Juárez</w:t>
      </w:r>
      <w:r w:rsidR="00C93875" w:rsidRPr="006D1B17">
        <w:rPr>
          <w:rFonts w:ascii="Palatino Linotype" w:hAnsi="Palatino Linotype" w:cs="Arial"/>
          <w:b/>
          <w:bCs/>
          <w:sz w:val="24"/>
          <w:szCs w:val="24"/>
        </w:rPr>
        <w:t>,</w:t>
      </w:r>
      <w:r w:rsidR="003D7278" w:rsidRPr="006D1B17">
        <w:rPr>
          <w:rFonts w:ascii="Palatino Linotype" w:eastAsia="Calibri" w:hAnsi="Palatino Linotype" w:cs="Arial"/>
          <w:sz w:val="24"/>
          <w:szCs w:val="24"/>
        </w:rPr>
        <w:t xml:space="preserve"> </w:t>
      </w:r>
      <w:r w:rsidR="00C752C4" w:rsidRPr="006D1B17">
        <w:rPr>
          <w:rFonts w:ascii="Palatino Linotype" w:eastAsiaTheme="minorEastAsia" w:hAnsi="Palatino Linotype" w:cs="Arial"/>
          <w:b/>
        </w:rPr>
        <w:t xml:space="preserve"> </w:t>
      </w:r>
      <w:r w:rsidR="00FD1FAD" w:rsidRPr="006D1B17">
        <w:rPr>
          <w:rFonts w:ascii="Palatino Linotype" w:eastAsia="Calibri" w:hAnsi="Palatino Linotype" w:cs="Arial"/>
          <w:sz w:val="24"/>
          <w:szCs w:val="24"/>
        </w:rPr>
        <w:t xml:space="preserve">y así ordenar que se realice una búsqueda exhaustiva en los archivos </w:t>
      </w:r>
      <w:r w:rsidR="00B16CE1" w:rsidRPr="006D1B17">
        <w:rPr>
          <w:rFonts w:ascii="Palatino Linotype" w:eastAsia="Calibri" w:hAnsi="Palatino Linotype" w:cs="Arial"/>
          <w:sz w:val="24"/>
          <w:szCs w:val="24"/>
        </w:rPr>
        <w:t xml:space="preserve">del </w:t>
      </w:r>
      <w:r w:rsidR="00FD1FAD" w:rsidRPr="006D1B17">
        <w:rPr>
          <w:rFonts w:ascii="Palatino Linotype" w:eastAsia="Calibri" w:hAnsi="Palatino Linotype" w:cs="Arial"/>
          <w:b/>
          <w:sz w:val="24"/>
          <w:szCs w:val="24"/>
        </w:rPr>
        <w:t>SUJETO OBLIGADO</w:t>
      </w:r>
      <w:r w:rsidR="0006430D" w:rsidRPr="006D1B17">
        <w:rPr>
          <w:rFonts w:ascii="Palatino Linotype" w:eastAsia="Calibri" w:hAnsi="Palatino Linotype" w:cs="Arial"/>
          <w:b/>
          <w:sz w:val="24"/>
          <w:szCs w:val="24"/>
        </w:rPr>
        <w:t>.</w:t>
      </w:r>
    </w:p>
    <w:p w:rsidR="000E4D6E" w:rsidRPr="000E4D6E" w:rsidRDefault="000E4D6E" w:rsidP="000E4D6E">
      <w:pPr>
        <w:pStyle w:val="Prrafodelista"/>
        <w:spacing w:line="360" w:lineRule="auto"/>
        <w:ind w:left="0" w:right="49"/>
        <w:jc w:val="both"/>
        <w:rPr>
          <w:rFonts w:ascii="Palatino Linotype" w:eastAsia="Calibri" w:hAnsi="Palatino Linotype" w:cs="Arial"/>
          <w:sz w:val="24"/>
          <w:szCs w:val="24"/>
        </w:rPr>
      </w:pPr>
    </w:p>
    <w:p w:rsidR="00F44EAA" w:rsidRPr="000865EE" w:rsidRDefault="00480F5B" w:rsidP="00F44EAA">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720D2F">
        <w:rPr>
          <w:rFonts w:ascii="Palatino Linotype" w:hAnsi="Palatino Linotype" w:cs="Arial"/>
          <w:b/>
          <w:sz w:val="24"/>
          <w:szCs w:val="24"/>
        </w:rPr>
        <w:t xml:space="preserve"> al </w:t>
      </w:r>
      <w:r w:rsidR="00720D2F" w:rsidRPr="00720D2F">
        <w:rPr>
          <w:rFonts w:ascii="Palatino Linotype" w:hAnsi="Palatino Linotype"/>
          <w:b/>
        </w:rPr>
        <w:t xml:space="preserve"> </w:t>
      </w:r>
      <w:r w:rsidR="00497F7C" w:rsidRPr="00F44EAA">
        <w:rPr>
          <w:rFonts w:ascii="Palatino Linotype" w:hAnsi="Palatino Linotype" w:cs="Arial"/>
          <w:b/>
          <w:sz w:val="24"/>
          <w:szCs w:val="24"/>
        </w:rPr>
        <w:t>Ayuntamiento de</w:t>
      </w:r>
      <w:r w:rsidR="006D1B17" w:rsidRPr="006D1B17">
        <w:rPr>
          <w:rFonts w:ascii="Palatino Linotype" w:hAnsi="Palatino Linotype" w:cs="Arial"/>
          <w:b/>
        </w:rPr>
        <w:t xml:space="preserve"> </w:t>
      </w:r>
      <w:r w:rsidR="006D1B17">
        <w:rPr>
          <w:rFonts w:ascii="Palatino Linotype" w:hAnsi="Palatino Linotype" w:cs="Arial"/>
          <w:b/>
        </w:rPr>
        <w:t>Naucalpan de Juárez</w:t>
      </w:r>
      <w:r w:rsidR="0006430D" w:rsidRPr="00CE55B7">
        <w:rPr>
          <w:rFonts w:ascii="Palatino Linotype" w:hAnsi="Palatino Linotype" w:cs="Arial"/>
          <w:b/>
          <w:sz w:val="24"/>
          <w:szCs w:val="24"/>
        </w:rPr>
        <w:t>,</w:t>
      </w:r>
      <w:r w:rsidR="0006430D" w:rsidRPr="00CE55B7">
        <w:rPr>
          <w:rFonts w:ascii="Palatino Linotype" w:hAnsi="Palatino Linotype" w:cs="Arial"/>
          <w:sz w:val="24"/>
          <w:szCs w:val="24"/>
        </w:rPr>
        <w:t xml:space="preserve"> </w:t>
      </w:r>
      <w:r w:rsidR="005441DE"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p>
    <w:p w:rsidR="000865EE" w:rsidRPr="000865EE" w:rsidRDefault="000865EE" w:rsidP="000865EE">
      <w:pPr>
        <w:pStyle w:val="Prrafodelista"/>
        <w:rPr>
          <w:rFonts w:ascii="Palatino Linotype" w:hAnsi="Palatino Linotype"/>
          <w:sz w:val="24"/>
          <w:szCs w:val="24"/>
        </w:rPr>
      </w:pPr>
    </w:p>
    <w:p w:rsidR="000865EE" w:rsidRPr="006D1B17" w:rsidRDefault="000865EE" w:rsidP="000865EE">
      <w:pPr>
        <w:pStyle w:val="Prrafodelista"/>
        <w:spacing w:before="120" w:after="120" w:line="360" w:lineRule="auto"/>
        <w:ind w:left="0" w:right="49"/>
        <w:jc w:val="both"/>
        <w:rPr>
          <w:rFonts w:ascii="Palatino Linotype" w:hAnsi="Palatino Linotype"/>
          <w:sz w:val="24"/>
          <w:szCs w:val="24"/>
        </w:rPr>
      </w:pPr>
    </w:p>
    <w:p w:rsidR="006D1B17" w:rsidRPr="006D1B17" w:rsidRDefault="006D1B17" w:rsidP="000865EE">
      <w:pPr>
        <w:pStyle w:val="Prrafodelista"/>
        <w:spacing w:line="360" w:lineRule="auto"/>
        <w:ind w:left="567"/>
        <w:jc w:val="both"/>
        <w:rPr>
          <w:rFonts w:ascii="Palatino Linotype" w:hAnsi="Palatino Linotype"/>
          <w:sz w:val="24"/>
          <w:szCs w:val="24"/>
        </w:rPr>
      </w:pPr>
      <w:r w:rsidRPr="006D1B17">
        <w:rPr>
          <w:rFonts w:ascii="Palatino Linotype" w:hAnsi="Palatino Linotype"/>
          <w:sz w:val="24"/>
          <w:szCs w:val="24"/>
        </w:rPr>
        <w:lastRenderedPageBreak/>
        <w:t>1.</w:t>
      </w:r>
      <w:r w:rsidRPr="006D1B17">
        <w:rPr>
          <w:rFonts w:ascii="Palatino Linotype" w:hAnsi="Palatino Linotype"/>
          <w:sz w:val="24"/>
          <w:szCs w:val="24"/>
        </w:rPr>
        <w:tab/>
        <w:t>El nombre, sueldo y salario bruto, los conceptos que forman parte del sobresueldo, compensaciones, horas extras, comisiones, apoyos escolares, vales, apoyos en general, excedentes y similares; así como la lista de raya del periodo comprendido del primero al treinta y uno de marzo de dos mil dieciocho, de la totalidad de los servidores públicos.</w:t>
      </w:r>
    </w:p>
    <w:p w:rsidR="006D1B17" w:rsidRPr="006D1B17" w:rsidRDefault="006D1B17" w:rsidP="000865EE">
      <w:pPr>
        <w:pStyle w:val="Prrafodelista"/>
        <w:spacing w:line="360" w:lineRule="auto"/>
        <w:ind w:left="567"/>
        <w:jc w:val="both"/>
        <w:rPr>
          <w:rFonts w:ascii="Palatino Linotype" w:hAnsi="Palatino Linotype"/>
          <w:sz w:val="24"/>
          <w:szCs w:val="24"/>
        </w:rPr>
      </w:pPr>
      <w:r w:rsidRPr="006D1B17">
        <w:rPr>
          <w:rFonts w:ascii="Palatino Linotype" w:hAnsi="Palatino Linotype"/>
          <w:sz w:val="24"/>
          <w:szCs w:val="24"/>
        </w:rPr>
        <w:t>Debiendo acompañar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igualmente hará de su conocimiento.</w:t>
      </w:r>
    </w:p>
    <w:p w:rsidR="006D1B17" w:rsidRPr="006D1B17" w:rsidRDefault="006D1B17" w:rsidP="000865EE">
      <w:pPr>
        <w:pStyle w:val="Prrafodelista"/>
        <w:spacing w:line="360" w:lineRule="auto"/>
        <w:ind w:left="567"/>
        <w:jc w:val="both"/>
        <w:rPr>
          <w:rFonts w:ascii="Palatino Linotype" w:hAnsi="Palatino Linotype"/>
          <w:sz w:val="24"/>
          <w:szCs w:val="24"/>
        </w:rPr>
      </w:pPr>
      <w:r w:rsidRPr="006D1B17">
        <w:rPr>
          <w:rFonts w:ascii="Palatino Linotype" w:hAnsi="Palatino Linotype"/>
          <w:sz w:val="24"/>
          <w:szCs w:val="24"/>
        </w:rPr>
        <w:t>En el supuesto de que no se haya generado la información relativa a la “Lista de Raya”, bastará con el sólo pronunciamiento del Sujeto Obligado para tener por colmado el requerimiento de información, mismo que deberá hacer del conocimiento del Recurrente.</w:t>
      </w:r>
    </w:p>
    <w:p w:rsidR="006D1B17" w:rsidRPr="00F44EAA" w:rsidRDefault="006D1B17" w:rsidP="006D1B17">
      <w:pPr>
        <w:pStyle w:val="Prrafodelista"/>
        <w:spacing w:before="120" w:after="120" w:line="360" w:lineRule="auto"/>
        <w:ind w:left="0" w:right="49"/>
        <w:jc w:val="both"/>
        <w:rPr>
          <w:rFonts w:ascii="Palatino Linotype" w:hAnsi="Palatino Linotype"/>
          <w:sz w:val="24"/>
          <w:szCs w:val="24"/>
        </w:rPr>
      </w:pPr>
    </w:p>
    <w:p w:rsidR="00964E10" w:rsidRPr="00964E10" w:rsidRDefault="00594E5C" w:rsidP="00082116">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6D1B17">
        <w:rPr>
          <w:rFonts w:ascii="Palatino Linotype" w:eastAsia="Times New Roman" w:hAnsi="Palatino Linotype" w:cs="Arial"/>
          <w:sz w:val="24"/>
        </w:rPr>
        <w:t>a la información solicitada</w:t>
      </w:r>
      <w:r w:rsidR="0041189B">
        <w:rPr>
          <w:rFonts w:ascii="Palatino Linotype" w:eastAsia="Times New Roman" w:hAnsi="Palatino Linotype" w:cs="Arial"/>
          <w:sz w:val="24"/>
        </w:rPr>
        <w:t>:</w:t>
      </w:r>
    </w:p>
    <w:p w:rsidR="00964E10" w:rsidRDefault="00964E10" w:rsidP="00E27554">
      <w:pPr>
        <w:pStyle w:val="Prrafodelista"/>
        <w:spacing w:before="240" w:after="240" w:line="360" w:lineRule="auto"/>
        <w:ind w:left="0" w:right="49"/>
        <w:jc w:val="both"/>
        <w:rPr>
          <w:rFonts w:ascii="Palatino Linotype" w:eastAsia="Times New Roman" w:hAnsi="Palatino Linotype" w:cs="Arial"/>
        </w:rPr>
      </w:pPr>
    </w:p>
    <w:p w:rsidR="00964E10" w:rsidRDefault="00313C1C" w:rsidP="00313C1C">
      <w:pPr>
        <w:pStyle w:val="Prrafodelista"/>
        <w:spacing w:before="240" w:after="240" w:line="360" w:lineRule="auto"/>
        <w:ind w:left="0" w:right="49"/>
        <w:jc w:val="both"/>
        <w:rPr>
          <w:rFonts w:ascii="Palatino Linotype" w:eastAsia="Times New Roman" w:hAnsi="Palatino Linotype" w:cs="Arial"/>
          <w:sz w:val="24"/>
          <w:szCs w:val="24"/>
        </w:rPr>
      </w:pPr>
      <w:r w:rsidRPr="00313C1C">
        <w:rPr>
          <w:rFonts w:ascii="Palatino Linotype" w:eastAsia="Times New Roman" w:hAnsi="Palatino Linotype" w:cs="Arial"/>
          <w:sz w:val="24"/>
          <w:szCs w:val="24"/>
        </w:rPr>
        <w:t xml:space="preserve">En el supuesto de que no se haya generado la información relativa a la “Lista de Raya”, bastará con el sólo pronunciamiento del Sujeto Obligado para tener </w:t>
      </w:r>
      <w:r w:rsidRPr="00313C1C">
        <w:rPr>
          <w:rFonts w:ascii="Palatino Linotype" w:eastAsia="Times New Roman" w:hAnsi="Palatino Linotype" w:cs="Arial"/>
          <w:sz w:val="24"/>
          <w:szCs w:val="24"/>
        </w:rPr>
        <w:lastRenderedPageBreak/>
        <w:t>por colmado el requerimiento de información, mismo que deberá hacer del conocimiento del Recurrente.</w:t>
      </w:r>
    </w:p>
    <w:p w:rsidR="00313C1C" w:rsidRPr="00313C1C" w:rsidRDefault="00313C1C" w:rsidP="00313C1C">
      <w:pPr>
        <w:pStyle w:val="Prrafodelista"/>
        <w:spacing w:before="240" w:after="240" w:line="360" w:lineRule="auto"/>
        <w:ind w:left="0" w:right="49"/>
        <w:jc w:val="both"/>
        <w:rPr>
          <w:rFonts w:ascii="Palatino Linotype" w:eastAsia="Times New Roman" w:hAnsi="Palatino Linotype" w:cs="Arial"/>
          <w:sz w:val="24"/>
          <w:szCs w:val="24"/>
        </w:rPr>
      </w:pPr>
    </w:p>
    <w:p w:rsidR="00C602B8" w:rsidRPr="00C602B8" w:rsidRDefault="00594E5C" w:rsidP="009D4E0C">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2" w:name="_Toc469919070"/>
      <w:bookmarkStart w:id="3" w:name="_Toc534904228"/>
      <w:r w:rsidRPr="00427B79">
        <w:rPr>
          <w:b/>
          <w:szCs w:val="24"/>
        </w:rPr>
        <w:t>II</w:t>
      </w:r>
      <w:r w:rsidR="00680533" w:rsidRPr="00427B79">
        <w:rPr>
          <w:b/>
          <w:szCs w:val="24"/>
        </w:rPr>
        <w:t>I</w:t>
      </w:r>
      <w:r w:rsidRPr="00427B79">
        <w:rPr>
          <w:b/>
          <w:szCs w:val="24"/>
        </w:rPr>
        <w:t>. Del Derecho de Acceso a la información pública y el deber de motivar.</w:t>
      </w:r>
      <w:bookmarkEnd w:id="2"/>
      <w:bookmarkEnd w:id="3"/>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lastRenderedPageBreak/>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 xml:space="preserve">ratio </w:t>
      </w:r>
      <w:proofErr w:type="spellStart"/>
      <w:r w:rsidRPr="00427B79">
        <w:rPr>
          <w:rFonts w:ascii="Palatino Linotype" w:hAnsi="Palatino Linotype"/>
          <w:i/>
          <w:sz w:val="24"/>
          <w:szCs w:val="24"/>
        </w:rPr>
        <w:t>decidendi</w:t>
      </w:r>
      <w:proofErr w:type="spellEnd"/>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w:t>
      </w:r>
      <w:r w:rsidRPr="00427B79">
        <w:rPr>
          <w:rFonts w:ascii="Palatino Linotype" w:hAnsi="Palatino Linotype"/>
          <w:sz w:val="24"/>
          <w:szCs w:val="24"/>
        </w:rPr>
        <w:lastRenderedPageBreak/>
        <w:t>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lastRenderedPageBreak/>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4" w:name="_Toc534904229"/>
      <w:r>
        <w:rPr>
          <w:rFonts w:eastAsia="Calibri"/>
          <w:color w:val="auto"/>
          <w:szCs w:val="24"/>
        </w:rPr>
        <w:t xml:space="preserve">IV. </w:t>
      </w:r>
      <w:r w:rsidR="00680533" w:rsidRPr="00427B79">
        <w:rPr>
          <w:rFonts w:eastAsia="Calibri"/>
          <w:color w:val="auto"/>
          <w:szCs w:val="24"/>
        </w:rPr>
        <w:t>Del Pronunciamiento simple</w:t>
      </w:r>
      <w:bookmarkEnd w:id="4"/>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 xml:space="preserve">Revisión fiscal 103/88. Instituto Mexicano del Seguro Social. 18 de octubre de 1988. Unanimidad de votos. Ponente: Arnoldo Nájera Virgen. Secretario: Alejandro </w:t>
      </w:r>
      <w:proofErr w:type="spellStart"/>
      <w:r w:rsidRPr="00B73B30">
        <w:rPr>
          <w:rFonts w:ascii="Palatino Linotype" w:eastAsiaTheme="minorEastAsia" w:hAnsi="Palatino Linotype" w:cs="Arial"/>
          <w:i/>
          <w:lang w:val="es-ES_tradnl" w:eastAsia="es-ES"/>
        </w:rPr>
        <w:t>Esponda</w:t>
      </w:r>
      <w:proofErr w:type="spellEnd"/>
      <w:r w:rsidRPr="00B73B30">
        <w:rPr>
          <w:rFonts w:ascii="Palatino Linotype" w:eastAsiaTheme="minorEastAsia" w:hAnsi="Palatino Linotype" w:cs="Arial"/>
          <w:i/>
          <w:lang w:val="es-ES_tradnl" w:eastAsia="es-ES"/>
        </w:rPr>
        <w:t xml:space="preserve">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333/88. </w:t>
      </w:r>
      <w:proofErr w:type="spellStart"/>
      <w:r w:rsidRPr="00B73B30">
        <w:rPr>
          <w:rFonts w:ascii="Palatino Linotype" w:eastAsiaTheme="minorEastAsia" w:hAnsi="Palatino Linotype" w:cs="Arial"/>
          <w:i/>
          <w:lang w:val="es-ES_tradnl" w:eastAsia="es-ES"/>
        </w:rPr>
        <w:t>Adilia</w:t>
      </w:r>
      <w:proofErr w:type="spellEnd"/>
      <w:r w:rsidRPr="00B73B30">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597/95. Emilio Maurer Bretón. 15 de noviembre de 1995. Unanimidad de votos. Ponente: Clementina Ramírez Moguel </w:t>
      </w:r>
      <w:proofErr w:type="spellStart"/>
      <w:r w:rsidRPr="00B73B30">
        <w:rPr>
          <w:rFonts w:ascii="Palatino Linotype" w:eastAsiaTheme="minorEastAsia" w:hAnsi="Palatino Linotype" w:cs="Arial"/>
          <w:i/>
          <w:lang w:val="es-ES_tradnl" w:eastAsia="es-ES"/>
        </w:rPr>
        <w:t>Goyzueta</w:t>
      </w:r>
      <w:proofErr w:type="spellEnd"/>
      <w:r w:rsidRPr="00B73B30">
        <w:rPr>
          <w:rFonts w:ascii="Palatino Linotype" w:eastAsiaTheme="minorEastAsia" w:hAnsi="Palatino Linotype" w:cs="Arial"/>
          <w:i/>
          <w:lang w:val="es-ES_tradnl" w:eastAsia="es-ES"/>
        </w:rPr>
        <w:t>.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B73B30">
        <w:rPr>
          <w:rFonts w:ascii="Palatino Linotype" w:eastAsiaTheme="minorEastAsia" w:hAnsi="Palatino Linotype" w:cs="Arial"/>
          <w:i/>
          <w:lang w:val="es-ES_tradnl" w:eastAsia="es-ES"/>
        </w:rPr>
        <w:t>Baigts</w:t>
      </w:r>
      <w:proofErr w:type="spellEnd"/>
      <w:r w:rsidRPr="00B73B30">
        <w:rPr>
          <w:rFonts w:ascii="Palatino Linotype" w:eastAsiaTheme="minorEastAsia" w:hAnsi="Palatino Linotype" w:cs="Arial"/>
          <w:i/>
          <w:lang w:val="es-ES_tradnl" w:eastAsia="es-ES"/>
        </w:rPr>
        <w:t xml:space="preserve">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w:t>
      </w:r>
      <w:r w:rsidRPr="00427B79">
        <w:rPr>
          <w:rFonts w:ascii="Palatino Linotype" w:eastAsia="Calibri" w:hAnsi="Palatino Linotype" w:cs="Arial"/>
          <w:sz w:val="24"/>
          <w:szCs w:val="24"/>
        </w:rPr>
        <w:lastRenderedPageBreak/>
        <w:t xml:space="preserve">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 xml:space="preserve">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w:t>
      </w:r>
      <w:r w:rsidRPr="00A22908">
        <w:rPr>
          <w:rFonts w:ascii="Palatino Linotype" w:eastAsia="Calibri" w:hAnsi="Palatino Linotype" w:cs="Arial"/>
          <w:sz w:val="24"/>
          <w:szCs w:val="24"/>
          <w:lang w:val="es-ES_tradnl"/>
        </w:rPr>
        <w:lastRenderedPageBreak/>
        <w:t>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w:t>
      </w:r>
      <w:r w:rsidRPr="00A22908">
        <w:rPr>
          <w:rFonts w:ascii="Palatino Linotype" w:eastAsia="Calibri" w:hAnsi="Palatino Linotype" w:cs="Arial"/>
          <w:sz w:val="24"/>
          <w:szCs w:val="24"/>
          <w:lang w:val="es-ES_tradnl"/>
        </w:rPr>
        <w:lastRenderedPageBreak/>
        <w:t>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21F85"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lastRenderedPageBreak/>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B21F85" w:rsidRDefault="00B21F85" w:rsidP="00B21F85">
      <w:pPr>
        <w:pStyle w:val="Prrafodelista"/>
        <w:rPr>
          <w:rFonts w:ascii="Palatino Linotype" w:hAnsi="Palatino Linotype"/>
          <w:sz w:val="24"/>
          <w:szCs w:val="24"/>
        </w:rPr>
      </w:pPr>
    </w:p>
    <w:p w:rsidR="00B21F85" w:rsidRDefault="00B21F85" w:rsidP="00B21F85">
      <w:pPr>
        <w:spacing w:after="0" w:line="360" w:lineRule="auto"/>
        <w:contextualSpacing/>
        <w:jc w:val="both"/>
        <w:rPr>
          <w:rFonts w:ascii="Palatino Linotype" w:hAnsi="Palatino Linotype"/>
          <w:sz w:val="24"/>
          <w:szCs w:val="24"/>
        </w:rPr>
      </w:pPr>
      <w:r>
        <w:rPr>
          <w:rFonts w:ascii="Palatino Linotype" w:hAnsi="Palatino Linotype"/>
          <w:sz w:val="24"/>
          <w:szCs w:val="24"/>
        </w:rPr>
        <w:t>V. Del artículo 19 de la ley de la materia.</w:t>
      </w:r>
    </w:p>
    <w:p w:rsidR="00B21F85" w:rsidRDefault="00B21F85" w:rsidP="00B21F85">
      <w:pPr>
        <w:spacing w:after="0" w:line="360" w:lineRule="auto"/>
        <w:contextualSpacing/>
        <w:jc w:val="both"/>
        <w:rPr>
          <w:rFonts w:ascii="Palatino Linotype" w:hAnsi="Palatino Linotype"/>
          <w:sz w:val="24"/>
          <w:szCs w:val="24"/>
        </w:rPr>
      </w:pPr>
    </w:p>
    <w:p w:rsidR="00B21F85" w:rsidRPr="00B21F85" w:rsidRDefault="00B21F85" w:rsidP="00B21F85">
      <w:pPr>
        <w:pStyle w:val="Prrafodelista"/>
        <w:numPr>
          <w:ilvl w:val="0"/>
          <w:numId w:val="1"/>
        </w:numPr>
        <w:spacing w:after="0" w:line="360" w:lineRule="auto"/>
        <w:ind w:left="0" w:right="900" w:firstLine="0"/>
        <w:jc w:val="both"/>
        <w:rPr>
          <w:rFonts w:ascii="Palatino Linotype" w:hAnsi="Palatino Linotype"/>
          <w:sz w:val="24"/>
          <w:szCs w:val="24"/>
        </w:rPr>
      </w:pPr>
      <w:r w:rsidRPr="00B21F85">
        <w:rPr>
          <w:rFonts w:ascii="Palatino Linotype" w:hAnsi="Palatino Linotype"/>
          <w:sz w:val="24"/>
          <w:szCs w:val="24"/>
        </w:rPr>
        <w:t xml:space="preserve">Para poder comprender lo que la </w:t>
      </w:r>
      <w:r w:rsidRPr="00B21F85">
        <w:rPr>
          <w:rFonts w:ascii="Palatino Linotype" w:hAnsi="Palatino Linotype"/>
          <w:b/>
          <w:sz w:val="24"/>
          <w:szCs w:val="24"/>
        </w:rPr>
        <w:t>“presunción de la información”</w:t>
      </w:r>
      <w:r w:rsidRPr="00B21F85">
        <w:rPr>
          <w:rFonts w:ascii="Palatino Linotype" w:hAnsi="Palatino Linotype"/>
          <w:sz w:val="24"/>
          <w:szCs w:val="24"/>
        </w:rPr>
        <w:t xml:space="preserve"> implica, es necesario analizar lo establecido en el artículo 19 de la Ley de Transparencia y Acceso a la Información Pública del Estado de México y Municipios, que a la letra señala lo siguiente: </w:t>
      </w:r>
    </w:p>
    <w:p w:rsidR="00B21F85" w:rsidRDefault="00B21F85" w:rsidP="00B21F85">
      <w:pPr>
        <w:spacing w:after="0" w:line="360" w:lineRule="auto"/>
        <w:ind w:right="900"/>
        <w:jc w:val="both"/>
        <w:rPr>
          <w:rFonts w:ascii="Palatino Linotype" w:hAnsi="Palatino Linotype"/>
          <w:sz w:val="24"/>
          <w:szCs w:val="24"/>
        </w:rPr>
      </w:pP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“Artículo 19. Se presume que la información debe de existir si se refiere a las facultades, competencias y funciones que los ordenamientos jurídicos aplicables otorgan a los sujetos obligados. </w:t>
      </w: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En los casos en que ciertas facultades, competencias o funciones no se hayan ejercido, se debe motivar la respuesta en función de las causas que motiven tal circunstancia. </w:t>
      </w:r>
    </w:p>
    <w:p w:rsidR="00B21F85"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lastRenderedPageBreak/>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B21F85" w:rsidRPr="00D47DAC" w:rsidRDefault="00B21F85" w:rsidP="00B21F85">
      <w:pPr>
        <w:spacing w:after="0" w:line="360" w:lineRule="auto"/>
        <w:ind w:right="900"/>
        <w:jc w:val="both"/>
        <w:rPr>
          <w:rFonts w:ascii="Palatino Linotype" w:hAnsi="Palatino Linotype"/>
          <w:i/>
          <w:sz w:val="24"/>
          <w:szCs w:val="24"/>
        </w:rPr>
      </w:pPr>
    </w:p>
    <w:p w:rsidR="00B21F85" w:rsidRP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particular, por lo que se desprende que el precepto legal citado, está compuesto por las siguientes hipótesis. </w:t>
      </w:r>
    </w:p>
    <w:p w:rsidR="00B21F85" w:rsidRDefault="00B21F85" w:rsidP="00B21F85">
      <w:pPr>
        <w:spacing w:after="0" w:line="360" w:lineRule="auto"/>
        <w:jc w:val="both"/>
        <w:rPr>
          <w:rFonts w:ascii="Palatino Linotype" w:hAnsi="Palatino Linotype"/>
          <w:sz w:val="24"/>
          <w:szCs w:val="24"/>
        </w:rPr>
      </w:pPr>
    </w:p>
    <w:p w:rsidR="00B21F85" w:rsidRDefault="00B21F85" w:rsidP="00B21F85">
      <w:pPr>
        <w:pStyle w:val="Prrafodelista"/>
        <w:numPr>
          <w:ilvl w:val="0"/>
          <w:numId w:val="28"/>
        </w:numPr>
        <w:spacing w:after="0" w:line="360" w:lineRule="auto"/>
        <w:ind w:left="426"/>
        <w:jc w:val="both"/>
        <w:rPr>
          <w:rFonts w:ascii="Palatino Linotype" w:hAnsi="Palatino Linotype"/>
          <w:sz w:val="24"/>
          <w:szCs w:val="24"/>
        </w:rPr>
      </w:pPr>
      <w:r w:rsidRPr="00450598">
        <w:rPr>
          <w:rFonts w:ascii="Palatino Linotype" w:hAnsi="Palatino Linotype"/>
          <w:b/>
          <w:sz w:val="24"/>
          <w:szCs w:val="24"/>
        </w:rPr>
        <w:t>Existencia y presunción implícita</w:t>
      </w:r>
      <w:r>
        <w:rPr>
          <w:rFonts w:ascii="Palatino Linotype" w:hAnsi="Palatino Linotype"/>
          <w:b/>
          <w:sz w:val="24"/>
          <w:szCs w:val="24"/>
        </w:rPr>
        <w:t xml:space="preserve"> o explícita de la información.</w:t>
      </w:r>
      <w:r>
        <w:rPr>
          <w:rFonts w:ascii="Palatino Linotype" w:hAnsi="Palatino Linotype"/>
          <w:sz w:val="24"/>
          <w:szCs w:val="24"/>
        </w:rPr>
        <w:t xml:space="preserve"> </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Pr>
          <w:rFonts w:ascii="Palatino Linotype" w:hAnsi="Palatino Linotype"/>
          <w:sz w:val="24"/>
          <w:szCs w:val="24"/>
        </w:rPr>
        <w:t>Esta hipótesis señala qu</w:t>
      </w:r>
      <w:r w:rsidRPr="00DA579B">
        <w:rPr>
          <w:rFonts w:ascii="Palatino Linotype" w:hAnsi="Palatino Linotype"/>
          <w:sz w:val="24"/>
          <w:szCs w:val="24"/>
        </w:rPr>
        <w:t xml:space="preserve">e </w:t>
      </w:r>
      <w:r>
        <w:rPr>
          <w:rFonts w:ascii="Palatino Linotype" w:hAnsi="Palatino Linotype"/>
          <w:sz w:val="24"/>
          <w:szCs w:val="24"/>
        </w:rPr>
        <w:t xml:space="preserve">se </w:t>
      </w:r>
      <w:r w:rsidRPr="00DA579B">
        <w:rPr>
          <w:rFonts w:ascii="Palatino Linotype" w:hAnsi="Palatino Linotype"/>
          <w:sz w:val="24"/>
          <w:szCs w:val="24"/>
        </w:rPr>
        <w:t xml:space="preserve">presume que la información debe de existir </w:t>
      </w:r>
      <w:r>
        <w:rPr>
          <w:rFonts w:ascii="Palatino Linotype" w:hAnsi="Palatino Linotype"/>
          <w:sz w:val="24"/>
          <w:szCs w:val="24"/>
        </w:rPr>
        <w:t xml:space="preserve">en archivos del </w:t>
      </w:r>
      <w:r w:rsidRPr="00DA579B">
        <w:rPr>
          <w:rFonts w:ascii="Palatino Linotype" w:hAnsi="Palatino Linotype"/>
          <w:b/>
          <w:sz w:val="24"/>
          <w:szCs w:val="24"/>
        </w:rPr>
        <w:t>SUJETO OBLIGADO</w:t>
      </w:r>
      <w:r>
        <w:rPr>
          <w:rFonts w:ascii="Palatino Linotype" w:hAnsi="Palatino Linotype"/>
          <w:sz w:val="24"/>
          <w:szCs w:val="24"/>
        </w:rPr>
        <w:t xml:space="preserve">, en razón de que éste tiene la obligación, facultad y/o competencia de generar la misma, para robustecer lo anterior se anexa el siguiente criterio; </w:t>
      </w:r>
    </w:p>
    <w:p w:rsidR="00B21F85" w:rsidRDefault="00B21F85" w:rsidP="00B21F85">
      <w:pPr>
        <w:pStyle w:val="Prrafodelista"/>
        <w:spacing w:after="0" w:line="360" w:lineRule="auto"/>
        <w:jc w:val="both"/>
        <w:rPr>
          <w:rFonts w:ascii="Palatino Linotype" w:hAnsi="Palatino Linotype"/>
          <w:sz w:val="24"/>
          <w:szCs w:val="24"/>
        </w:rPr>
      </w:pP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lastRenderedPageBreak/>
        <w:t>EXISTENCIA DE LA INFORMACIÓN PÚBLICA, PRESUNCIÓN IMPLÍCITA O EXPLÍCITA DE LA.</w:t>
      </w:r>
      <w:r w:rsidRPr="00450598">
        <w:rPr>
          <w:rFonts w:ascii="Palatino Linotype" w:hAnsi="Palatino Linotype" w:cs="Arial"/>
          <w:sz w:val="24"/>
          <w:szCs w:val="24"/>
        </w:rPr>
        <w:t xml:space="preserv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450598">
        <w:rPr>
          <w:rFonts w:ascii="Palatino Linotype" w:hAnsi="Palatino Linotype" w:cs="Arial"/>
          <w:sz w:val="24"/>
          <w:szCs w:val="24"/>
          <w:u w:val="single"/>
        </w:rPr>
        <w:t>aprobar un presupuesto de egresos</w:t>
      </w:r>
      <w:r w:rsidRPr="00450598">
        <w:rPr>
          <w:rFonts w:ascii="Palatino Linotype" w:hAnsi="Palatino Linotype" w:cs="Arial"/>
          <w:sz w:val="24"/>
          <w:szCs w:val="24"/>
        </w:rPr>
        <w:t>;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B21F85" w:rsidRDefault="00B21F85" w:rsidP="00B21F85">
      <w:pPr>
        <w:pStyle w:val="Prrafodelista"/>
        <w:spacing w:line="360" w:lineRule="auto"/>
        <w:jc w:val="both"/>
        <w:rPr>
          <w:rFonts w:ascii="Palatino Linotype" w:hAnsi="Palatino Linotype"/>
          <w:sz w:val="24"/>
          <w:szCs w:val="24"/>
        </w:rPr>
      </w:pPr>
    </w:p>
    <w:p w:rsidR="00B21F85" w:rsidRPr="00DA579B" w:rsidRDefault="00B21F85" w:rsidP="00B21F85">
      <w:pPr>
        <w:pStyle w:val="Prrafodelista"/>
        <w:numPr>
          <w:ilvl w:val="0"/>
          <w:numId w:val="28"/>
        </w:numPr>
        <w:spacing w:line="360" w:lineRule="auto"/>
        <w:ind w:left="426" w:hanging="426"/>
        <w:jc w:val="both"/>
        <w:rPr>
          <w:rFonts w:ascii="Palatino Linotype" w:hAnsi="Palatino Linotype"/>
          <w:sz w:val="24"/>
          <w:szCs w:val="24"/>
        </w:rPr>
      </w:pPr>
      <w:r w:rsidRPr="00450598">
        <w:rPr>
          <w:rFonts w:ascii="Palatino Linotype" w:hAnsi="Palatino Linotype"/>
          <w:b/>
          <w:sz w:val="24"/>
          <w:szCs w:val="24"/>
        </w:rPr>
        <w:lastRenderedPageBreak/>
        <w:t>Inexistencia de la información, por la f</w:t>
      </w:r>
      <w:r>
        <w:rPr>
          <w:rFonts w:ascii="Palatino Linotype" w:hAnsi="Palatino Linotype"/>
          <w:b/>
          <w:sz w:val="24"/>
          <w:szCs w:val="24"/>
        </w:rPr>
        <w:t>alta de acción de un interesado.</w:t>
      </w:r>
    </w:p>
    <w:p w:rsidR="00B21F85" w:rsidRDefault="00B21F85" w:rsidP="00B21F85">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señala que para el caso de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confiere para generar información, ya que no existió particular alguno que realizara una solicitud de acceso a la información. </w:t>
      </w:r>
    </w:p>
    <w:p w:rsidR="00B21F85" w:rsidRDefault="00B21F85" w:rsidP="00B21F85">
      <w:pPr>
        <w:pStyle w:val="Prrafodelista"/>
        <w:spacing w:line="360" w:lineRule="auto"/>
        <w:ind w:left="0"/>
        <w:jc w:val="both"/>
        <w:rPr>
          <w:rFonts w:ascii="Palatino Linotype" w:hAnsi="Palatino Linotype"/>
          <w:sz w:val="24"/>
          <w:szCs w:val="24"/>
        </w:rPr>
      </w:pPr>
    </w:p>
    <w:p w:rsidR="00B21F85" w:rsidRPr="00B21F85" w:rsidRDefault="00B21F85" w:rsidP="00B21F85">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Por lo anterior y si fuera el caso,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deberá señalar de manera fundada y motivada las razones que lo llevaron a la falta de su generación, asimismo se anexa el siguiente criterio. </w:t>
      </w:r>
    </w:p>
    <w:p w:rsidR="00B21F85" w:rsidRPr="001C2A0E"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 xml:space="preserve">INEXISTENCIA DE LA INFORMACIÓN, </w:t>
      </w:r>
      <w:r w:rsidRPr="00450598">
        <w:rPr>
          <w:rFonts w:ascii="Palatino Linotype" w:hAnsi="Palatino Linotype" w:cs="Arial"/>
          <w:b/>
          <w:sz w:val="24"/>
          <w:szCs w:val="24"/>
          <w:u w:val="single"/>
        </w:rPr>
        <w:t>SUPUESTOS</w:t>
      </w:r>
      <w:r w:rsidRPr="00450598">
        <w:rPr>
          <w:rFonts w:ascii="Palatino Linotype" w:hAnsi="Palatino Linotype" w:cs="Arial"/>
          <w:b/>
          <w:sz w:val="24"/>
          <w:szCs w:val="24"/>
        </w:rPr>
        <w:t xml:space="preserve"> PARA MANIFESTAR LA. </w:t>
      </w:r>
      <w:r w:rsidRPr="00450598">
        <w:rPr>
          <w:rFonts w:ascii="Palatino Linotype" w:hAnsi="Palatino Linotype" w:cs="Arial"/>
          <w:sz w:val="24"/>
          <w:szCs w:val="24"/>
        </w:rPr>
        <w:t>A</w:t>
      </w:r>
      <w:r w:rsidRPr="00450598">
        <w:rPr>
          <w:rFonts w:ascii="Palatino Linotype" w:hAnsi="Palatino Linotype" w:cs="Arial"/>
          <w:b/>
          <w:sz w:val="24"/>
          <w:szCs w:val="24"/>
        </w:rPr>
        <w:t xml:space="preserve"> </w:t>
      </w:r>
      <w:r w:rsidRPr="00450598">
        <w:rPr>
          <w:rFonts w:ascii="Palatino Linotype" w:hAnsi="Palatino Linotype" w:cs="Arial"/>
          <w:sz w:val="24"/>
          <w:szCs w:val="24"/>
        </w:rPr>
        <w:t xml:space="preserve">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w:t>
      </w:r>
      <w:r w:rsidRPr="00450598">
        <w:rPr>
          <w:rFonts w:ascii="Palatino Linotype" w:hAnsi="Palatino Linotype" w:cs="Arial"/>
          <w:sz w:val="24"/>
          <w:szCs w:val="24"/>
        </w:rPr>
        <w:lastRenderedPageBreak/>
        <w:t>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p>
    <w:p w:rsidR="00B21F85" w:rsidRDefault="00B21F85" w:rsidP="00B21F85">
      <w:pPr>
        <w:pStyle w:val="Prrafodelista"/>
        <w:numPr>
          <w:ilvl w:val="0"/>
          <w:numId w:val="28"/>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incumplimiento de obligación o circunstancias ajenas al SUJETO OBLIGADO</w:t>
      </w:r>
      <w:r>
        <w:rPr>
          <w:rFonts w:ascii="Palatino Linotype" w:hAnsi="Palatino Linotype"/>
          <w:sz w:val="24"/>
          <w:szCs w:val="24"/>
        </w:rPr>
        <w:t>.</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P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prevé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sí debió generar la información solicitada, en razón de que es una de sus facultades, atribuciones y competencias, pero no lo hizo, o bien si fue generada poseída y/o administrada por el mismo, pero ya no obra en sus archivos, en consecuencia y en ambos casos, la autoridad responsable deberá manifestar de manera fundada y motivada las razones que expliquen las causas que llevaron ante tal situación -se anexa el siguiente criterio-. </w:t>
      </w:r>
    </w:p>
    <w:p w:rsidR="00B21F85" w:rsidRPr="00450598" w:rsidRDefault="00B21F85" w:rsidP="00B21F85">
      <w:pPr>
        <w:pStyle w:val="Prrafodelista"/>
        <w:spacing w:after="0" w:line="360" w:lineRule="auto"/>
        <w:jc w:val="both"/>
        <w:rPr>
          <w:rFonts w:ascii="Palatino Linotype" w:hAnsi="Palatino Linotype"/>
          <w:sz w:val="24"/>
          <w:szCs w:val="24"/>
        </w:rPr>
      </w:pPr>
    </w:p>
    <w:p w:rsidR="00B21F85" w:rsidRDefault="00B21F85" w:rsidP="00B21F85">
      <w:pPr>
        <w:spacing w:after="0" w:line="360" w:lineRule="auto"/>
        <w:ind w:left="567" w:right="616"/>
        <w:jc w:val="both"/>
        <w:rPr>
          <w:rFonts w:ascii="Palatino Linotype" w:hAnsi="Palatino Linotype" w:cs="Arial"/>
          <w:sz w:val="24"/>
          <w:szCs w:val="24"/>
        </w:rPr>
      </w:pPr>
      <w:r w:rsidRPr="00541925">
        <w:rPr>
          <w:rFonts w:ascii="Palatino Linotype" w:hAnsi="Palatino Linotype" w:cs="Arial"/>
          <w:b/>
          <w:sz w:val="24"/>
          <w:szCs w:val="24"/>
          <w:u w:val="single"/>
        </w:rPr>
        <w:lastRenderedPageBreak/>
        <w:t>INEXISTENCIA DE LA INFORMACIÓN,</w:t>
      </w:r>
      <w:r w:rsidRPr="00541925">
        <w:rPr>
          <w:rFonts w:ascii="Palatino Linotype" w:hAnsi="Palatino Linotype" w:cs="Arial"/>
          <w:b/>
          <w:sz w:val="24"/>
          <w:szCs w:val="24"/>
        </w:rPr>
        <w:t xml:space="preserve"> SUPUESTOS PARA EMITIR LA RESOLUCIÓN DE LA.</w:t>
      </w:r>
      <w:r w:rsidRPr="00541925">
        <w:rPr>
          <w:rFonts w:ascii="Palatino Linotype" w:hAnsi="Palatino Linotype" w:cs="Arial"/>
          <w:sz w:val="24"/>
          <w:szCs w:val="24"/>
        </w:rPr>
        <w:t xml:space="preserve"> A 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segundo supuesto, que corresponde a lo señalado en su último párrafo, alude a: 1.- Actos realizados sobre los cuales a) no se generó, poseyó o administró el documento que registre la información solicitada; </w:t>
      </w:r>
      <w:r w:rsidRPr="00541925">
        <w:rPr>
          <w:rFonts w:ascii="Palatino Linotype" w:hAnsi="Palatino Linotype" w:cs="Arial"/>
          <w:b/>
          <w:sz w:val="24"/>
          <w:szCs w:val="24"/>
        </w:rPr>
        <w:t>b) habiendo sido generada, poseída o administrada, no se cuenta con la información solicitada</w:t>
      </w:r>
      <w:r w:rsidRPr="00541925">
        <w:rPr>
          <w:rFonts w:ascii="Palatino Linotype" w:hAnsi="Palatino Linotype" w:cs="Arial"/>
          <w:sz w:val="24"/>
          <w:szCs w:val="24"/>
        </w:rPr>
        <w:t xml:space="preserve">;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B21F85" w:rsidRPr="00541925" w:rsidRDefault="00B21F85" w:rsidP="00B21F85">
      <w:pPr>
        <w:spacing w:after="0" w:line="360" w:lineRule="auto"/>
        <w:ind w:right="616"/>
        <w:jc w:val="both"/>
        <w:rPr>
          <w:rFonts w:ascii="Palatino Linotype" w:hAnsi="Palatino Linotype" w:cs="Arial"/>
          <w:sz w:val="24"/>
          <w:szCs w:val="24"/>
        </w:rPr>
      </w:pP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F16264" w:rsidRDefault="00B21F85" w:rsidP="00B21F85">
      <w:pPr>
        <w:pStyle w:val="Prrafodelista"/>
        <w:numPr>
          <w:ilvl w:val="0"/>
          <w:numId w:val="29"/>
        </w:numPr>
        <w:spacing w:after="0" w:line="360" w:lineRule="auto"/>
        <w:ind w:left="426" w:hanging="426"/>
        <w:jc w:val="both"/>
        <w:rPr>
          <w:rFonts w:ascii="Palatino Linotype" w:eastAsia="Calibri" w:hAnsi="Palatino Linotype" w:cs="Times New Roman"/>
          <w:sz w:val="24"/>
          <w:szCs w:val="24"/>
          <w:lang w:val="es-ES" w:eastAsia="es-ES"/>
        </w:rPr>
      </w:pPr>
      <w:r w:rsidRPr="00450598">
        <w:rPr>
          <w:rFonts w:ascii="Palatino Linotype" w:hAnsi="Palatino Linotype"/>
          <w:b/>
          <w:sz w:val="24"/>
          <w:szCs w:val="24"/>
        </w:rPr>
        <w:t>Existencia de la información y presunción implícita</w:t>
      </w:r>
      <w:r>
        <w:rPr>
          <w:rFonts w:ascii="Palatino Linotype" w:hAnsi="Palatino Linotype"/>
          <w:b/>
          <w:sz w:val="24"/>
          <w:szCs w:val="24"/>
        </w:rPr>
        <w:t>.</w:t>
      </w:r>
    </w:p>
    <w:p w:rsidR="00B21F85" w:rsidRPr="00F16264" w:rsidRDefault="00B21F85" w:rsidP="00B21F85">
      <w:pPr>
        <w:pStyle w:val="Prrafodelista"/>
        <w:spacing w:after="0" w:line="360" w:lineRule="auto"/>
        <w:ind w:left="426"/>
        <w:jc w:val="both"/>
        <w:rPr>
          <w:rFonts w:ascii="Palatino Linotype" w:eastAsia="Calibri" w:hAnsi="Palatino Linotype" w:cs="Times New Roman"/>
          <w:sz w:val="24"/>
          <w:szCs w:val="24"/>
          <w:lang w:val="es-ES" w:eastAsia="es-ES"/>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 xml:space="preserve">En principio, el término presunción se deriva de la voz latina </w:t>
      </w:r>
      <w:r w:rsidRPr="00B21F85">
        <w:rPr>
          <w:rFonts w:ascii="Palatino Linotype" w:hAnsi="Palatino Linotype"/>
          <w:i/>
          <w:sz w:val="24"/>
          <w:szCs w:val="24"/>
        </w:rPr>
        <w:t>“</w:t>
      </w:r>
      <w:proofErr w:type="spellStart"/>
      <w:r w:rsidRPr="00B21F85">
        <w:rPr>
          <w:rFonts w:ascii="Palatino Linotype" w:hAnsi="Palatino Linotype"/>
          <w:i/>
          <w:sz w:val="24"/>
          <w:szCs w:val="24"/>
        </w:rPr>
        <w:t>prae-sumere</w:t>
      </w:r>
      <w:proofErr w:type="spellEnd"/>
      <w:r w:rsidRPr="00B21F85">
        <w:rPr>
          <w:rFonts w:ascii="Palatino Linotype" w:hAnsi="Palatino Linotype"/>
          <w:i/>
          <w:sz w:val="24"/>
          <w:szCs w:val="24"/>
        </w:rPr>
        <w:t>”,</w:t>
      </w:r>
      <w:r w:rsidRPr="00B21F85">
        <w:rPr>
          <w:rFonts w:ascii="Palatino Linotype" w:hAnsi="Palatino Linotype"/>
          <w:sz w:val="24"/>
          <w:szCs w:val="24"/>
        </w:rPr>
        <w:t xml:space="preserve"> que significa; </w:t>
      </w:r>
      <w:r w:rsidRPr="00B21F85">
        <w:rPr>
          <w:rFonts w:ascii="Palatino Linotype" w:hAnsi="Palatino Linotype"/>
          <w:i/>
          <w:sz w:val="24"/>
          <w:szCs w:val="24"/>
        </w:rPr>
        <w:t xml:space="preserve">resolver de antemano, anticipar, tomar una cosa cierta sin que esté probada o conjeturar. </w:t>
      </w:r>
      <w:r w:rsidRPr="00B21F85">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B21F85" w:rsidRP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Ahora bien, la presunción es una conjetura probable sobre una cosa incierta, puede ser de derecho cuando la determina la ley, o de hombre, si proviene de un razonamiento de un juez o de una autoridad, de acuerdo con el Código de Procedimientos Administrativos del Estado de México, señala en su artículo 88 que: </w:t>
      </w:r>
    </w:p>
    <w:p w:rsidR="00B21F85" w:rsidRDefault="00B21F85" w:rsidP="00B21F85">
      <w:pPr>
        <w:spacing w:after="0" w:line="360" w:lineRule="auto"/>
        <w:jc w:val="both"/>
        <w:rPr>
          <w:rFonts w:ascii="Palatino Linotype" w:hAnsi="Palatino Linotype"/>
          <w:sz w:val="24"/>
          <w:szCs w:val="24"/>
        </w:rPr>
      </w:pPr>
    </w:p>
    <w:p w:rsidR="00B21F85" w:rsidRPr="00F16264" w:rsidRDefault="00B21F85" w:rsidP="00B21F85">
      <w:pPr>
        <w:spacing w:after="0" w:line="360" w:lineRule="auto"/>
        <w:ind w:left="567" w:right="616"/>
        <w:jc w:val="both"/>
        <w:rPr>
          <w:rFonts w:ascii="Palatino Linotype" w:hAnsi="Palatino Linotype"/>
          <w:i/>
          <w:sz w:val="24"/>
          <w:szCs w:val="24"/>
        </w:rPr>
      </w:pPr>
      <w:r>
        <w:rPr>
          <w:rFonts w:ascii="Palatino Linotype" w:hAnsi="Palatino Linotype"/>
          <w:i/>
          <w:sz w:val="24"/>
          <w:szCs w:val="24"/>
        </w:rPr>
        <w:t>“</w:t>
      </w:r>
      <w:r w:rsidRPr="00F16264">
        <w:rPr>
          <w:rFonts w:ascii="Palatino Linotype" w:hAnsi="Palatino Linotype"/>
          <w:i/>
          <w:sz w:val="24"/>
          <w:szCs w:val="24"/>
        </w:rPr>
        <w:t xml:space="preserve">Artículo 88. La </w:t>
      </w:r>
      <w:r w:rsidRPr="00722024">
        <w:rPr>
          <w:rFonts w:ascii="Palatino Linotype" w:hAnsi="Palatino Linotype"/>
          <w:b/>
          <w:i/>
          <w:sz w:val="24"/>
          <w:szCs w:val="24"/>
        </w:rPr>
        <w:t>presunción es la consecuencia</w:t>
      </w:r>
      <w:r w:rsidRPr="00F16264">
        <w:rPr>
          <w:rFonts w:ascii="Palatino Linotype" w:hAnsi="Palatino Linotype"/>
          <w:i/>
          <w:sz w:val="24"/>
          <w:szCs w:val="24"/>
        </w:rPr>
        <w:t xml:space="preserve"> que la ley, autoridad administrativa o el tribunal </w:t>
      </w:r>
      <w:r w:rsidRPr="00722024">
        <w:rPr>
          <w:rFonts w:ascii="Palatino Linotype" w:hAnsi="Palatino Linotype"/>
          <w:b/>
          <w:i/>
          <w:sz w:val="24"/>
          <w:szCs w:val="24"/>
        </w:rPr>
        <w:t>deducen de un hecho conocido para averiguar la verdad de otro desconocido</w:t>
      </w:r>
      <w:r w:rsidRPr="00F16264">
        <w:rPr>
          <w:rFonts w:ascii="Palatino Linotype" w:hAnsi="Palatino Linotype"/>
          <w:i/>
          <w:sz w:val="24"/>
          <w:szCs w:val="24"/>
        </w:rPr>
        <w:t xml:space="preserve">; la primera se llama legal y la segunda humana. </w:t>
      </w:r>
    </w:p>
    <w:p w:rsidR="00B21F85" w:rsidRDefault="00B21F85" w:rsidP="00B21F85">
      <w:pPr>
        <w:spacing w:after="0" w:line="360" w:lineRule="auto"/>
        <w:ind w:left="567" w:right="616"/>
        <w:jc w:val="both"/>
        <w:rPr>
          <w:rFonts w:ascii="Palatino Linotype" w:hAnsi="Palatino Linotype"/>
          <w:i/>
          <w:sz w:val="24"/>
          <w:szCs w:val="24"/>
        </w:rPr>
      </w:pPr>
      <w:r w:rsidRPr="00F16264">
        <w:rPr>
          <w:rFonts w:ascii="Palatino Linotype" w:hAnsi="Palatino Linotype"/>
          <w:i/>
          <w:sz w:val="24"/>
          <w:szCs w:val="24"/>
        </w:rPr>
        <w:t>Hay presunción legal cuando la ley la establece expresamente. Hay presunción humana cunado de un hecho debidamente probado se deduce otro que es c</w:t>
      </w:r>
      <w:r>
        <w:rPr>
          <w:rFonts w:ascii="Palatino Linotype" w:hAnsi="Palatino Linotype"/>
          <w:i/>
          <w:sz w:val="24"/>
          <w:szCs w:val="24"/>
        </w:rPr>
        <w:t xml:space="preserve">onsecuencia ordinaria de aquel”. </w:t>
      </w:r>
    </w:p>
    <w:p w:rsidR="00B21F85" w:rsidRPr="00F16264" w:rsidRDefault="00B21F85" w:rsidP="00B21F85">
      <w:pPr>
        <w:spacing w:after="0" w:line="360" w:lineRule="auto"/>
        <w:ind w:left="567" w:right="616"/>
        <w:jc w:val="both"/>
        <w:rPr>
          <w:rFonts w:ascii="Palatino Linotype" w:hAnsi="Palatino Linotype"/>
          <w:i/>
          <w:sz w:val="24"/>
          <w:szCs w:val="24"/>
        </w:rPr>
      </w:pPr>
    </w:p>
    <w:p w:rsidR="00B21F85" w:rsidRP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Hablando en términos de efectos procesales; la doctrina norteamericana expresa que:</w:t>
      </w:r>
    </w:p>
    <w:p w:rsidR="00B21F85" w:rsidRDefault="00B21F85" w:rsidP="00B21F85">
      <w:pPr>
        <w:spacing w:after="0" w:line="360" w:lineRule="auto"/>
        <w:ind w:left="567" w:right="616"/>
        <w:jc w:val="both"/>
        <w:rPr>
          <w:rFonts w:ascii="Palatino Linotype" w:hAnsi="Palatino Linotype"/>
          <w:sz w:val="24"/>
          <w:szCs w:val="24"/>
        </w:rPr>
      </w:pPr>
      <w:r w:rsidRPr="00F16264">
        <w:rPr>
          <w:rFonts w:ascii="Palatino Linotype" w:hAnsi="Palatino Linotype"/>
          <w:i/>
          <w:sz w:val="24"/>
          <w:szCs w:val="24"/>
        </w:rPr>
        <w:lastRenderedPageBreak/>
        <w:t>“Así como las cargas de la prueba están algunas veces situadas por razones de equidad, algunas presunciones están creadas para corregir un desequilibrio resultante del mayor acceso que tiene a la prueba una de las partes”.</w:t>
      </w:r>
      <w:r w:rsidRPr="00F16264">
        <w:rPr>
          <w:rFonts w:ascii="Palatino Linotype" w:hAnsi="Palatino Linotype"/>
          <w:sz w:val="24"/>
          <w:szCs w:val="24"/>
        </w:rPr>
        <w:t xml:space="preserve"> </w:t>
      </w:r>
    </w:p>
    <w:p w:rsidR="00B21F85" w:rsidRDefault="00B21F85" w:rsidP="00B21F85">
      <w:pPr>
        <w:spacing w:after="0" w:line="360" w:lineRule="auto"/>
        <w:jc w:val="both"/>
        <w:rPr>
          <w:rFonts w:ascii="Palatino Linotype" w:hAnsi="Palatino Linotype"/>
          <w:sz w:val="24"/>
          <w:szCs w:val="24"/>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una de las partes, generando con ello un estado de desequilibrio probatorio, y ante este nace la figura de la presunción.</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Parra Quijano</w:t>
      </w:r>
      <w:r>
        <w:rPr>
          <w:rStyle w:val="Refdenotaalpie"/>
          <w:rFonts w:ascii="Palatino Linotype" w:hAnsi="Palatino Linotype"/>
          <w:sz w:val="24"/>
          <w:szCs w:val="24"/>
        </w:rPr>
        <w:footnoteReference w:id="1"/>
      </w:r>
      <w:r w:rsidRPr="00B21F85">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B21F85" w:rsidRPr="00B21F85" w:rsidRDefault="00B21F85" w:rsidP="00B21F85">
      <w:pPr>
        <w:pStyle w:val="Prrafodelista"/>
        <w:rPr>
          <w:rFonts w:ascii="Palatino Linotype" w:hAnsi="Palatino Linotype"/>
          <w:sz w:val="24"/>
          <w:szCs w:val="24"/>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No se debe olvidar que la presunción se trata de la aplicación de métodos lógicos, reglas de experiencia y análisis de concordancia. Al sujeto que favorezca la presunción, no requiere probarla, basta que muestre el hecho base, por ejemplo;  La ley en materia civil, señala que “la posesión de una cosa </w:t>
      </w:r>
      <w:r w:rsidRPr="00B21F85">
        <w:rPr>
          <w:rFonts w:ascii="Palatino Linotype" w:hAnsi="Palatino Linotype"/>
          <w:sz w:val="24"/>
          <w:szCs w:val="24"/>
        </w:rPr>
        <w:lastRenderedPageBreak/>
        <w:t>hará presumir la tradición”, es decir, si se celebró un contrato de compraventa, y el comprador tiene en la actualidad la cosa objeto del contrato en su poder, la ley presume que el vendedor se la entregó y que dicha entrega materializó la tradición, es decir el hecho base es la posesión del  objeto.</w:t>
      </w:r>
    </w:p>
    <w:p w:rsidR="00B21F85" w:rsidRPr="00B21F85" w:rsidRDefault="00B21F85" w:rsidP="00B21F85">
      <w:pPr>
        <w:pStyle w:val="Prrafodelista"/>
        <w:rPr>
          <w:rFonts w:ascii="Palatino Linotype" w:hAnsi="Palatino Linotype"/>
          <w:sz w:val="24"/>
          <w:szCs w:val="24"/>
        </w:rPr>
      </w:pPr>
    </w:p>
    <w:p w:rsidR="00B21F85" w:rsidRP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materia de transparencia, esta hipótesis se encuadra de la siguiente manera: </w:t>
      </w:r>
      <w:r>
        <w:rPr>
          <w:rFonts w:ascii="Palatino Linotype" w:hAnsi="Palatino Linotype"/>
          <w:sz w:val="24"/>
          <w:szCs w:val="24"/>
        </w:rPr>
        <w:t xml:space="preserve"> </w:t>
      </w:r>
      <w:r w:rsidRPr="00B21F85">
        <w:rPr>
          <w:rFonts w:ascii="Palatino Linotype" w:hAnsi="Palatino Linotype"/>
          <w:sz w:val="24"/>
          <w:szCs w:val="24"/>
        </w:rPr>
        <w:t xml:space="preserve">El hecho base es la facultad, la competencia y las funciones que la ley aplicable otorga a los sujetos obligados para generar la información, luego entonces, si la facultad, la competencia y las funciones de la autoridad, dan como resultado la generación de la información, se presupone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 de poseer y administrar la misma, y por lo consecuencia, al poseer y administrar la información, éste debe de permitir su  acceso a través del Derecho de Acceso a la Información. </w:t>
      </w:r>
    </w:p>
    <w:p w:rsidR="00B21F85" w:rsidRDefault="00B21F85" w:rsidP="00B21F85">
      <w:pPr>
        <w:spacing w:after="0" w:line="360" w:lineRule="auto"/>
        <w:jc w:val="both"/>
        <w:rPr>
          <w:rFonts w:ascii="Palatino Linotype" w:hAnsi="Palatino Linotype"/>
          <w:sz w:val="24"/>
          <w:szCs w:val="24"/>
        </w:rPr>
      </w:pPr>
    </w:p>
    <w:p w:rsidR="00B21F85" w:rsidRPr="00801E18"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falta de acción de un interesado</w:t>
      </w:r>
      <w:r>
        <w:rPr>
          <w:rFonts w:ascii="Palatino Linotype" w:hAnsi="Palatino Linotype"/>
          <w:b/>
          <w:sz w:val="24"/>
          <w:szCs w:val="24"/>
        </w:rPr>
        <w:t xml:space="preserve">. </w:t>
      </w:r>
    </w:p>
    <w:p w:rsidR="00B21F85" w:rsidRPr="00801E18"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Respecto a la segunda hipótesis prevista en el artículo objeto del análisis, tenemos que posicionarnos desde una óptica procesal, por lo que es menester señalar y entender que el concepto de derecho tiene dos particulares puntos de vista; objetivos y subjetivos. </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 xml:space="preserve">En el primer caso, el derecho objetivo, es aquel conjunto de normas, leyes, costumbres, resoluciones judiciales y preceptos doctrinarios, en el segundo caso, el derecho subjetivo versa sobre las facultades que tienen las personas para actuar en la vida jurídica. </w:t>
      </w:r>
    </w:p>
    <w:p w:rsidR="00B21F85" w:rsidRPr="00B21F85" w:rsidRDefault="00B21F85" w:rsidP="00B21F85">
      <w:pPr>
        <w:pStyle w:val="Prrafodelista"/>
        <w:rPr>
          <w:rFonts w:ascii="Palatino Linotype" w:hAnsi="Palatino Linotype"/>
          <w:sz w:val="24"/>
          <w:szCs w:val="24"/>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al interés propio</w:t>
      </w:r>
      <w:r>
        <w:rPr>
          <w:rStyle w:val="Refdenotaalpie"/>
          <w:rFonts w:ascii="Palatino Linotype" w:hAnsi="Palatino Linotype"/>
          <w:sz w:val="24"/>
          <w:szCs w:val="24"/>
        </w:rPr>
        <w:footnoteReference w:id="2"/>
      </w:r>
      <w:r w:rsidRPr="00B21F85">
        <w:rPr>
          <w:rFonts w:ascii="Palatino Linotype" w:hAnsi="Palatino Linotype"/>
          <w:sz w:val="24"/>
          <w:szCs w:val="24"/>
        </w:rPr>
        <w:t xml:space="preserve">, luego entonces, de la existencia de la pretensión, se puede llegar a la acción como una de las formas de materializarla. </w:t>
      </w:r>
    </w:p>
    <w:p w:rsidR="00B21F85" w:rsidRPr="00B21F85" w:rsidRDefault="00B21F85" w:rsidP="00B21F85">
      <w:pPr>
        <w:pStyle w:val="Prrafodelista"/>
        <w:rPr>
          <w:rFonts w:ascii="Palatino Linotype" w:hAnsi="Palatino Linotype"/>
          <w:sz w:val="24"/>
          <w:szCs w:val="24"/>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B21F85" w:rsidRPr="00B21F85" w:rsidRDefault="00B21F85" w:rsidP="00B21F85">
      <w:pPr>
        <w:pStyle w:val="Prrafodelista"/>
        <w:rPr>
          <w:rFonts w:ascii="Palatino Linotype" w:hAnsi="Palatino Linotype"/>
          <w:sz w:val="24"/>
          <w:szCs w:val="24"/>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caso concreto del derecho de acceso a la información, hablamos de la existencia de un derecho objetivo cuando existe un ordenamiento jurídico y/o precepto legal, que de origen a un derecho subjetivo. Es decir, distintos ordenamientos jurídicos, como; la Ley de Transparencia del Estado de México, </w:t>
      </w:r>
      <w:r w:rsidRPr="00B21F85">
        <w:rPr>
          <w:rFonts w:ascii="Palatino Linotype" w:hAnsi="Palatino Linotype"/>
          <w:sz w:val="24"/>
          <w:szCs w:val="24"/>
        </w:rPr>
        <w:lastRenderedPageBreak/>
        <w:t xml:space="preserve">prevé en sus artículos la facultad de los sujetos obligados de generar, poseer y administrar información y, cuya esencia es de interés público, luego entonces, el derecho subjetivo se configura como la facultad que otorga dicha norma, para que el particular pueda acceder a la información generada por el sujeto obligado, todo ello se materializará a través de una acción del particular al pretender acceder a la información relativa que la autoridad genera, la cual es la solicitud de información. </w:t>
      </w:r>
    </w:p>
    <w:p w:rsidR="00B21F85" w:rsidRPr="00B21F85" w:rsidRDefault="00B21F85" w:rsidP="00B21F85">
      <w:pPr>
        <w:pStyle w:val="Prrafodelista"/>
        <w:rPr>
          <w:rFonts w:ascii="Palatino Linotype" w:hAnsi="Palatino Linotype"/>
          <w:sz w:val="24"/>
          <w:szCs w:val="24"/>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B21F85">
        <w:rPr>
          <w:rFonts w:ascii="Palatino Linotype" w:hAnsi="Palatino Linotype"/>
          <w:b/>
          <w:sz w:val="24"/>
          <w:szCs w:val="24"/>
        </w:rPr>
        <w:t>SUJETO OBLIGADO</w:t>
      </w:r>
      <w:r w:rsidRPr="00B21F85">
        <w:rPr>
          <w:rFonts w:ascii="Palatino Linotype" w:hAnsi="Palatino Linotype"/>
          <w:sz w:val="24"/>
          <w:szCs w:val="24"/>
        </w:rPr>
        <w:t xml:space="preserve"> y con ello una solicitud de información, es a voluntad de terceros, por lo que puede o no existir dicha voluntad. </w:t>
      </w:r>
    </w:p>
    <w:p w:rsidR="00B21F85" w:rsidRPr="00B21F85" w:rsidRDefault="00B21F85" w:rsidP="00B21F85">
      <w:pPr>
        <w:pStyle w:val="Prrafodelista"/>
        <w:rPr>
          <w:rFonts w:ascii="Palatino Linotype" w:hAnsi="Palatino Linotype"/>
          <w:sz w:val="24"/>
          <w:szCs w:val="24"/>
        </w:rPr>
      </w:pPr>
    </w:p>
    <w:p w:rsidR="00B21F85" w:rsidRP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B21F85">
        <w:rPr>
          <w:rFonts w:ascii="Palatino Linotype" w:hAnsi="Palatino Linotype"/>
          <w:b/>
          <w:sz w:val="24"/>
          <w:szCs w:val="24"/>
        </w:rPr>
        <w:t>SUJETO OBLIGADO</w:t>
      </w:r>
      <w:r w:rsidRPr="00B21F85">
        <w:rPr>
          <w:rFonts w:ascii="Palatino Linotype" w:hAnsi="Palatino Linotype"/>
          <w:sz w:val="24"/>
          <w:szCs w:val="24"/>
        </w:rPr>
        <w:t xml:space="preserve"> puede o no ser ejercida y por ende la información puede o no ser generada y en éste supuesto, el sujeto obligado deberá motivar y fundamentar su respuesta en función de las causas que motiven tal circunstancia. </w:t>
      </w:r>
    </w:p>
    <w:p w:rsidR="00B21F85" w:rsidRDefault="00B21F85" w:rsidP="00B21F85">
      <w:pPr>
        <w:spacing w:after="0" w:line="360" w:lineRule="auto"/>
        <w:jc w:val="both"/>
        <w:rPr>
          <w:rFonts w:ascii="Palatino Linotype" w:hAnsi="Palatino Linotype"/>
          <w:sz w:val="24"/>
          <w:szCs w:val="24"/>
        </w:rPr>
      </w:pPr>
    </w:p>
    <w:p w:rsidR="00B21F85" w:rsidRPr="00A465C7"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A465C7">
        <w:rPr>
          <w:rFonts w:ascii="Palatino Linotype" w:hAnsi="Palatino Linotype"/>
          <w:b/>
          <w:sz w:val="24"/>
          <w:szCs w:val="24"/>
        </w:rPr>
        <w:lastRenderedPageBreak/>
        <w:t>Inexistencia de la información, por incumplimiento de obligación o circunstancias ajenas al sujeto obligado</w:t>
      </w:r>
      <w:r w:rsidRPr="00A465C7">
        <w:rPr>
          <w:rFonts w:ascii="Palatino Linotype" w:hAnsi="Palatino Linotype"/>
          <w:sz w:val="24"/>
          <w:szCs w:val="24"/>
        </w:rPr>
        <w:t>:</w:t>
      </w: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B21F85" w:rsidRDefault="00B21F85" w:rsidP="00B21F85">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B21F85">
        <w:rPr>
          <w:rFonts w:ascii="Palatino Linotype" w:eastAsia="Calibri" w:hAnsi="Palatino Linotype" w:cs="Times New Roman"/>
          <w:sz w:val="24"/>
          <w:szCs w:val="24"/>
          <w:lang w:val="es-ES" w:eastAsia="es-ES"/>
        </w:rPr>
        <w:t xml:space="preserve">Respecto a este supuesto, nos situamos en que existe el ordenamiento jurídico que establece la facultad, la atribución y las funciones e incluso la obligación del sujeto obligado para generar información, también existe la pretensión de conocer información relativa a éste y por ende, también existe la solicitud de información del particular, sin embargo, el </w:t>
      </w:r>
      <w:r w:rsidRPr="00B21F85">
        <w:rPr>
          <w:rFonts w:ascii="Palatino Linotype" w:eastAsia="Calibri" w:hAnsi="Palatino Linotype" w:cs="Times New Roman"/>
          <w:b/>
          <w:sz w:val="24"/>
          <w:szCs w:val="24"/>
          <w:lang w:val="es-ES" w:eastAsia="es-ES"/>
        </w:rPr>
        <w:t>SUJETO OBLIGADO</w:t>
      </w:r>
      <w:r w:rsidRPr="00B21F85">
        <w:rPr>
          <w:rFonts w:ascii="Palatino Linotype" w:eastAsia="Calibri" w:hAnsi="Palatino Linotype" w:cs="Times New Roman"/>
          <w:sz w:val="24"/>
          <w:szCs w:val="24"/>
          <w:lang w:val="es-ES" w:eastAsia="es-ES"/>
        </w:rPr>
        <w:t>; 1) N</w:t>
      </w:r>
      <w:r w:rsidRPr="00B21F85">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encuentra en su posesión, o bien  2) El </w:t>
      </w:r>
      <w:r w:rsidRPr="00B21F85">
        <w:rPr>
          <w:rFonts w:ascii="Palatino Linotype" w:eastAsia="Calibri" w:hAnsi="Palatino Linotype" w:cs="Arial"/>
          <w:b/>
          <w:sz w:val="24"/>
          <w:szCs w:val="24"/>
        </w:rPr>
        <w:t xml:space="preserve">SUJETO OBLIGADO </w:t>
      </w:r>
      <w:r w:rsidRPr="00B21F85">
        <w:rPr>
          <w:rFonts w:ascii="Palatino Linotype" w:eastAsia="Calibri" w:hAnsi="Palatino Linotype" w:cs="Arial"/>
          <w:sz w:val="24"/>
          <w:szCs w:val="24"/>
        </w:rPr>
        <w:t xml:space="preserve">sí ejerció las facultades, atribuciones y funciones que la ley le confiere y “cumplió” con la obligación de generar la información que le correspondía, sin embargo, un particular deseó conocer lo que por sus facultades generó, y el </w:t>
      </w:r>
      <w:r w:rsidRPr="00B21F85">
        <w:rPr>
          <w:rFonts w:ascii="Palatino Linotype" w:eastAsia="Calibri" w:hAnsi="Palatino Linotype" w:cs="Arial"/>
          <w:b/>
          <w:sz w:val="24"/>
          <w:szCs w:val="24"/>
        </w:rPr>
        <w:t>SUJETO OBLIGADO</w:t>
      </w:r>
      <w:r w:rsidRPr="00B21F85">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483418" w:rsidRPr="00B21F85" w:rsidRDefault="00483418" w:rsidP="00B21F85">
      <w:pPr>
        <w:rPr>
          <w:rFonts w:ascii="Palatino Linotype" w:hAnsi="Palatino Linotype"/>
          <w:sz w:val="24"/>
          <w:szCs w:val="24"/>
        </w:rPr>
      </w:pPr>
    </w:p>
    <w:p w:rsidR="00B21F85" w:rsidRPr="00B21F85" w:rsidRDefault="00483418" w:rsidP="00B21F85">
      <w:pPr>
        <w:numPr>
          <w:ilvl w:val="0"/>
          <w:numId w:val="1"/>
        </w:numPr>
        <w:spacing w:after="0" w:line="360" w:lineRule="auto"/>
        <w:ind w:left="0" w:firstLine="0"/>
        <w:contextualSpacing/>
        <w:jc w:val="both"/>
        <w:rPr>
          <w:rFonts w:ascii="Palatino Linotype" w:hAnsi="Palatino Linotype"/>
          <w:sz w:val="24"/>
          <w:szCs w:val="24"/>
        </w:rPr>
      </w:pPr>
      <w:r w:rsidRPr="00B21F85">
        <w:rPr>
          <w:rFonts w:ascii="Palatino Linotype" w:hAnsi="Palatino Linotype"/>
          <w:sz w:val="24"/>
          <w:szCs w:val="24"/>
        </w:rPr>
        <w:lastRenderedPageBreak/>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r w:rsidR="00B21F85" w:rsidRPr="00B21F85">
        <w:rPr>
          <w:rFonts w:ascii="Palatino Linotype" w:hAnsi="Palatino Linotype"/>
          <w:sz w:val="24"/>
          <w:szCs w:val="24"/>
        </w:rPr>
        <w:t xml:space="preserve"> Por ello, contrario a lo que dicen ciertas voces aisladas, explicar las razones por las cuales no se ejercieron ciertas facultades, competencias o funciones no implica que se pruebe o acredite tal circunstancia, sino que el SUJETO OBLIGADO haga una explicación (motive y de ser el caso fundamente) adecuada de porque contando con esas facultades, competencias o funciones para generar, poseer o administrar la documentación solicitada no lo hizo.</w:t>
      </w:r>
    </w:p>
    <w:p w:rsidR="00B21F85" w:rsidRPr="00483418" w:rsidRDefault="00B21F85" w:rsidP="00B21F85">
      <w:pPr>
        <w:spacing w:after="0" w:line="360" w:lineRule="auto"/>
        <w:contextualSpacing/>
        <w:jc w:val="both"/>
        <w:rPr>
          <w:rFonts w:ascii="Palatino Linotype" w:hAnsi="Palatino Linotype"/>
          <w:sz w:val="24"/>
          <w:szCs w:val="24"/>
          <w:highlight w:val="cyan"/>
        </w:rPr>
      </w:pPr>
    </w:p>
    <w:p w:rsidR="00E6179D" w:rsidRPr="0083488C" w:rsidRDefault="00CD53CB" w:rsidP="00CD53CB">
      <w:pPr>
        <w:pStyle w:val="Ttulo1"/>
        <w:rPr>
          <w:rFonts w:eastAsia="Calibri"/>
          <w:szCs w:val="24"/>
        </w:rPr>
      </w:pPr>
      <w:bookmarkStart w:id="5" w:name="_Toc534904230"/>
      <w:r>
        <w:rPr>
          <w:rFonts w:eastAsia="Calibri"/>
          <w:color w:val="auto"/>
          <w:szCs w:val="24"/>
        </w:rPr>
        <w:t xml:space="preserve">V. </w:t>
      </w:r>
      <w:r w:rsidR="00E6179D" w:rsidRPr="0083488C">
        <w:rPr>
          <w:rFonts w:eastAsia="Calibri"/>
          <w:color w:val="auto"/>
          <w:szCs w:val="24"/>
        </w:rPr>
        <w:t>Conclusión.</w:t>
      </w:r>
      <w:bookmarkEnd w:id="5"/>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9D4E0C">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lo mencionado anteriormente, considero que es de suma importancia que en los casos que el Sujeto Obligado emita un pronunciamiento simple este debe estar debidamente fundado y motivado </w:t>
      </w:r>
      <w:r w:rsidRPr="00427B79">
        <w:rPr>
          <w:rFonts w:ascii="Palatino Linotype" w:eastAsia="Calibri" w:hAnsi="Palatino Linotype" w:cs="Arial"/>
          <w:sz w:val="24"/>
          <w:szCs w:val="24"/>
        </w:rPr>
        <w:lastRenderedPageBreak/>
        <w:t>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984860" w:rsidRDefault="00984860" w:rsidP="00E6179D">
      <w:pPr>
        <w:pStyle w:val="Prrafodelista"/>
        <w:spacing w:before="240" w:after="240" w:line="360" w:lineRule="auto"/>
        <w:ind w:left="0"/>
        <w:jc w:val="both"/>
        <w:rPr>
          <w:rFonts w:ascii="Palatino Linotype" w:hAnsi="Palatino Linotype" w:cs="Arial"/>
          <w:color w:val="000000" w:themeColor="text1"/>
          <w:sz w:val="24"/>
          <w:szCs w:val="24"/>
        </w:rPr>
      </w:pPr>
    </w:p>
    <w:p w:rsidR="004F2B19" w:rsidRDefault="004F2B19" w:rsidP="00E6179D">
      <w:pPr>
        <w:pStyle w:val="Prrafodelista"/>
        <w:spacing w:before="240" w:after="240" w:line="360" w:lineRule="auto"/>
        <w:ind w:left="0"/>
        <w:jc w:val="both"/>
        <w:rPr>
          <w:rFonts w:ascii="Palatino Linotype" w:hAnsi="Palatino Linotype" w:cs="Arial"/>
          <w:color w:val="000000" w:themeColor="text1"/>
          <w:sz w:val="24"/>
          <w:szCs w:val="24"/>
        </w:rPr>
      </w:pPr>
    </w:p>
    <w:p w:rsidR="00984860" w:rsidRPr="00427B79" w:rsidRDefault="00984860"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Pr="00427B7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A22908" w:rsidRPr="009A33F0" w:rsidRDefault="009A33F0" w:rsidP="009A33F0">
      <w:pPr>
        <w:jc w:val="center"/>
        <w:rPr>
          <w:rFonts w:ascii="Palatino Linotype" w:hAnsi="Palatino Linotype"/>
          <w:b/>
          <w:color w:val="000000" w:themeColor="text1"/>
          <w:sz w:val="24"/>
          <w:szCs w:val="24"/>
        </w:rPr>
      </w:pPr>
      <w:r w:rsidRPr="009A33F0">
        <w:rPr>
          <w:rFonts w:ascii="Palatino Linotype" w:hAnsi="Palatino Linotype"/>
          <w:b/>
          <w:color w:val="000000" w:themeColor="text1"/>
          <w:sz w:val="24"/>
          <w:szCs w:val="24"/>
        </w:rPr>
        <w:t>(Rúbrica)</w:t>
      </w:r>
    </w:p>
    <w:p w:rsidR="00A22908" w:rsidRDefault="00A22908" w:rsidP="00E6179D">
      <w:pPr>
        <w:rPr>
          <w:rFonts w:ascii="Palatino Linotype" w:hAnsi="Palatino Linotype"/>
          <w:color w:val="000000" w:themeColor="text1"/>
          <w:sz w:val="24"/>
          <w:szCs w:val="24"/>
        </w:rPr>
      </w:pPr>
    </w:p>
    <w:p w:rsidR="00A22908" w:rsidRDefault="00A22908" w:rsidP="00E6179D">
      <w:pPr>
        <w:rPr>
          <w:rFonts w:ascii="Palatino Linotype" w:hAnsi="Palatino Linotype"/>
          <w:color w:val="000000" w:themeColor="text1"/>
          <w:sz w:val="24"/>
          <w:szCs w:val="24"/>
        </w:rPr>
      </w:pPr>
      <w:bookmarkStart w:id="6" w:name="_GoBack"/>
      <w:bookmarkEnd w:id="6"/>
    </w:p>
    <w:p w:rsidR="00C602B8" w:rsidRDefault="00C602B8"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p w:rsidR="00797A31" w:rsidRPr="00427B79" w:rsidRDefault="00797A31" w:rsidP="00E6179D">
      <w:pPr>
        <w:rPr>
          <w:sz w:val="24"/>
          <w:szCs w:val="24"/>
        </w:rPr>
      </w:pPr>
    </w:p>
    <w:sectPr w:rsidR="00797A31" w:rsidRPr="00427B79" w:rsidSect="000865EE">
      <w:headerReference w:type="even" r:id="rId9"/>
      <w:headerReference w:type="default" r:id="rId10"/>
      <w:footerReference w:type="default" r:id="rId11"/>
      <w:headerReference w:type="first" r:id="rId12"/>
      <w:pgSz w:w="12240" w:h="15840" w:code="1"/>
      <w:pgMar w:top="2495" w:right="2317"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C01" w:rsidRDefault="005A5C01" w:rsidP="00E82D3D">
      <w:pPr>
        <w:spacing w:after="0" w:line="240" w:lineRule="auto"/>
      </w:pPr>
      <w:r>
        <w:separator/>
      </w:r>
    </w:p>
  </w:endnote>
  <w:endnote w:type="continuationSeparator" w:id="0">
    <w:p w:rsidR="005A5C01" w:rsidRDefault="005A5C01"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F2B19">
              <w:rPr>
                <w:b/>
                <w:bCs/>
                <w:noProof/>
              </w:rPr>
              <w:t>28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F2B19">
              <w:rPr>
                <w:b/>
                <w:bCs/>
                <w:noProof/>
              </w:rPr>
              <w:t>30</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C01" w:rsidRDefault="005A5C01" w:rsidP="00E82D3D">
      <w:pPr>
        <w:spacing w:after="0" w:line="240" w:lineRule="auto"/>
      </w:pPr>
      <w:r>
        <w:separator/>
      </w:r>
    </w:p>
  </w:footnote>
  <w:footnote w:type="continuationSeparator" w:id="0">
    <w:p w:rsidR="005A5C01" w:rsidRDefault="005A5C01" w:rsidP="00E82D3D">
      <w:pPr>
        <w:spacing w:after="0" w:line="240" w:lineRule="auto"/>
      </w:pPr>
      <w:r>
        <w:continuationSeparator/>
      </w:r>
    </w:p>
  </w:footnote>
  <w:footnote w:id="1">
    <w:p w:rsidR="00B21F85" w:rsidRDefault="00B21F85" w:rsidP="00B21F85">
      <w:pPr>
        <w:pStyle w:val="Textonotapie"/>
      </w:pPr>
      <w:r>
        <w:rPr>
          <w:rStyle w:val="Refdenotaalpie"/>
        </w:rPr>
        <w:footnoteRef/>
      </w:r>
      <w:r>
        <w:t xml:space="preserve"> Reflexiones sobre las presunciones, Parra Quijano. Jairo, </w:t>
      </w:r>
      <w:proofErr w:type="spellStart"/>
      <w:r>
        <w:t>pag</w:t>
      </w:r>
      <w:proofErr w:type="spellEnd"/>
      <w:r>
        <w:t xml:space="preserve">. 1. </w:t>
      </w:r>
    </w:p>
  </w:footnote>
  <w:footnote w:id="2">
    <w:p w:rsidR="00B21F85" w:rsidRDefault="00B21F85" w:rsidP="00B21F85">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4F2B1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4F2B1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4F2B1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29863FAE"/>
    <w:multiLevelType w:val="hybridMultilevel"/>
    <w:tmpl w:val="EB98A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4">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3">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D445FEE"/>
    <w:multiLevelType w:val="hybridMultilevel"/>
    <w:tmpl w:val="E022F4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21"/>
  </w:num>
  <w:num w:numId="3">
    <w:abstractNumId w:val="3"/>
  </w:num>
  <w:num w:numId="4">
    <w:abstractNumId w:val="27"/>
  </w:num>
  <w:num w:numId="5">
    <w:abstractNumId w:val="0"/>
  </w:num>
  <w:num w:numId="6">
    <w:abstractNumId w:val="1"/>
  </w:num>
  <w:num w:numId="7">
    <w:abstractNumId w:val="12"/>
  </w:num>
  <w:num w:numId="8">
    <w:abstractNumId w:val="15"/>
  </w:num>
  <w:num w:numId="9">
    <w:abstractNumId w:val="23"/>
  </w:num>
  <w:num w:numId="10">
    <w:abstractNumId w:val="13"/>
  </w:num>
  <w:num w:numId="11">
    <w:abstractNumId w:val="18"/>
  </w:num>
  <w:num w:numId="12">
    <w:abstractNumId w:val="7"/>
  </w:num>
  <w:num w:numId="13">
    <w:abstractNumId w:val="29"/>
  </w:num>
  <w:num w:numId="14">
    <w:abstractNumId w:val="28"/>
  </w:num>
  <w:num w:numId="15">
    <w:abstractNumId w:val="2"/>
  </w:num>
  <w:num w:numId="16">
    <w:abstractNumId w:val="11"/>
  </w:num>
  <w:num w:numId="17">
    <w:abstractNumId w:val="6"/>
  </w:num>
  <w:num w:numId="18">
    <w:abstractNumId w:val="8"/>
  </w:num>
  <w:num w:numId="19">
    <w:abstractNumId w:val="17"/>
  </w:num>
  <w:num w:numId="20">
    <w:abstractNumId w:val="5"/>
  </w:num>
  <w:num w:numId="21">
    <w:abstractNumId w:val="10"/>
  </w:num>
  <w:num w:numId="22">
    <w:abstractNumId w:val="25"/>
  </w:num>
  <w:num w:numId="23">
    <w:abstractNumId w:val="16"/>
  </w:num>
  <w:num w:numId="24">
    <w:abstractNumId w:val="4"/>
  </w:num>
  <w:num w:numId="25">
    <w:abstractNumId w:val="26"/>
  </w:num>
  <w:num w:numId="26">
    <w:abstractNumId w:val="19"/>
  </w:num>
  <w:num w:numId="27">
    <w:abstractNumId w:val="22"/>
  </w:num>
  <w:num w:numId="28">
    <w:abstractNumId w:val="14"/>
  </w:num>
  <w:num w:numId="29">
    <w:abstractNumId w:val="24"/>
  </w:num>
  <w:num w:numId="30">
    <w:abstractNumId w:val="30"/>
  </w:num>
  <w:num w:numId="31">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25E0E"/>
    <w:rsid w:val="0002788B"/>
    <w:rsid w:val="00033837"/>
    <w:rsid w:val="000354F0"/>
    <w:rsid w:val="0003648B"/>
    <w:rsid w:val="00047D47"/>
    <w:rsid w:val="00050071"/>
    <w:rsid w:val="00051010"/>
    <w:rsid w:val="0006430D"/>
    <w:rsid w:val="00064C7C"/>
    <w:rsid w:val="00075BC8"/>
    <w:rsid w:val="00080138"/>
    <w:rsid w:val="00082116"/>
    <w:rsid w:val="00083196"/>
    <w:rsid w:val="000865EE"/>
    <w:rsid w:val="0009506C"/>
    <w:rsid w:val="000957D0"/>
    <w:rsid w:val="00096CC2"/>
    <w:rsid w:val="000A17C5"/>
    <w:rsid w:val="000B09D7"/>
    <w:rsid w:val="000B2BE4"/>
    <w:rsid w:val="000C57DB"/>
    <w:rsid w:val="000D78CD"/>
    <w:rsid w:val="000E1ACA"/>
    <w:rsid w:val="000E4D6E"/>
    <w:rsid w:val="000F6EC0"/>
    <w:rsid w:val="00102360"/>
    <w:rsid w:val="00113C80"/>
    <w:rsid w:val="00113E8A"/>
    <w:rsid w:val="001240A5"/>
    <w:rsid w:val="00147D04"/>
    <w:rsid w:val="0016014E"/>
    <w:rsid w:val="001604B4"/>
    <w:rsid w:val="0016671B"/>
    <w:rsid w:val="001708DF"/>
    <w:rsid w:val="001725DC"/>
    <w:rsid w:val="0018245A"/>
    <w:rsid w:val="001833A7"/>
    <w:rsid w:val="0018421D"/>
    <w:rsid w:val="001849AC"/>
    <w:rsid w:val="00187407"/>
    <w:rsid w:val="001A3506"/>
    <w:rsid w:val="001A7D89"/>
    <w:rsid w:val="001B19B4"/>
    <w:rsid w:val="001C23BB"/>
    <w:rsid w:val="001C3DD0"/>
    <w:rsid w:val="001C6366"/>
    <w:rsid w:val="001D35E2"/>
    <w:rsid w:val="001D47E3"/>
    <w:rsid w:val="001D71D8"/>
    <w:rsid w:val="001E1AE7"/>
    <w:rsid w:val="001E5635"/>
    <w:rsid w:val="001F05DA"/>
    <w:rsid w:val="001F0E58"/>
    <w:rsid w:val="001F1428"/>
    <w:rsid w:val="00202AE6"/>
    <w:rsid w:val="0022191E"/>
    <w:rsid w:val="00223548"/>
    <w:rsid w:val="00224B9E"/>
    <w:rsid w:val="00230205"/>
    <w:rsid w:val="00235438"/>
    <w:rsid w:val="00240141"/>
    <w:rsid w:val="00241D8A"/>
    <w:rsid w:val="00252BB6"/>
    <w:rsid w:val="00256514"/>
    <w:rsid w:val="002643E6"/>
    <w:rsid w:val="00265FB2"/>
    <w:rsid w:val="00270126"/>
    <w:rsid w:val="00273862"/>
    <w:rsid w:val="002A2E8D"/>
    <w:rsid w:val="002A3111"/>
    <w:rsid w:val="002B1FE5"/>
    <w:rsid w:val="002B30C5"/>
    <w:rsid w:val="002C0B0D"/>
    <w:rsid w:val="002C4ACE"/>
    <w:rsid w:val="002D2F58"/>
    <w:rsid w:val="002D4033"/>
    <w:rsid w:val="002E3ED2"/>
    <w:rsid w:val="002E691F"/>
    <w:rsid w:val="002F79FF"/>
    <w:rsid w:val="00302CEB"/>
    <w:rsid w:val="00305CE0"/>
    <w:rsid w:val="00313C1C"/>
    <w:rsid w:val="00315772"/>
    <w:rsid w:val="003170B3"/>
    <w:rsid w:val="0032084C"/>
    <w:rsid w:val="0032240B"/>
    <w:rsid w:val="003258B6"/>
    <w:rsid w:val="0032670C"/>
    <w:rsid w:val="00360A7B"/>
    <w:rsid w:val="0036141D"/>
    <w:rsid w:val="003617E4"/>
    <w:rsid w:val="003676A8"/>
    <w:rsid w:val="003722F0"/>
    <w:rsid w:val="00376B99"/>
    <w:rsid w:val="00377B5A"/>
    <w:rsid w:val="00384DBA"/>
    <w:rsid w:val="003855C9"/>
    <w:rsid w:val="003875DC"/>
    <w:rsid w:val="00387F6B"/>
    <w:rsid w:val="003965B8"/>
    <w:rsid w:val="003A0E53"/>
    <w:rsid w:val="003A31EF"/>
    <w:rsid w:val="003A4962"/>
    <w:rsid w:val="003C19DC"/>
    <w:rsid w:val="003C37C6"/>
    <w:rsid w:val="003C7F8A"/>
    <w:rsid w:val="003D41BA"/>
    <w:rsid w:val="003D7278"/>
    <w:rsid w:val="003E0648"/>
    <w:rsid w:val="003F0FAA"/>
    <w:rsid w:val="003F1617"/>
    <w:rsid w:val="00401477"/>
    <w:rsid w:val="00410B42"/>
    <w:rsid w:val="0041189B"/>
    <w:rsid w:val="00421B1A"/>
    <w:rsid w:val="00423C67"/>
    <w:rsid w:val="00427B43"/>
    <w:rsid w:val="00427B79"/>
    <w:rsid w:val="004321EA"/>
    <w:rsid w:val="004340E4"/>
    <w:rsid w:val="00434E1A"/>
    <w:rsid w:val="00436338"/>
    <w:rsid w:val="00436541"/>
    <w:rsid w:val="00437D14"/>
    <w:rsid w:val="00454A8A"/>
    <w:rsid w:val="0045613E"/>
    <w:rsid w:val="0046231E"/>
    <w:rsid w:val="004633B7"/>
    <w:rsid w:val="00466F4A"/>
    <w:rsid w:val="00470840"/>
    <w:rsid w:val="004733AF"/>
    <w:rsid w:val="0047567F"/>
    <w:rsid w:val="00480F5B"/>
    <w:rsid w:val="00483418"/>
    <w:rsid w:val="0048628E"/>
    <w:rsid w:val="00494B01"/>
    <w:rsid w:val="00497F7C"/>
    <w:rsid w:val="004A5F86"/>
    <w:rsid w:val="004C57A6"/>
    <w:rsid w:val="004D772F"/>
    <w:rsid w:val="004F2B19"/>
    <w:rsid w:val="004F3ABB"/>
    <w:rsid w:val="004F4DA5"/>
    <w:rsid w:val="00501D40"/>
    <w:rsid w:val="00510EE4"/>
    <w:rsid w:val="00522308"/>
    <w:rsid w:val="0052306C"/>
    <w:rsid w:val="005441DE"/>
    <w:rsid w:val="005503D3"/>
    <w:rsid w:val="00554B28"/>
    <w:rsid w:val="005556CA"/>
    <w:rsid w:val="005565CE"/>
    <w:rsid w:val="005650D9"/>
    <w:rsid w:val="00567957"/>
    <w:rsid w:val="005905A5"/>
    <w:rsid w:val="00590C2D"/>
    <w:rsid w:val="00594E5C"/>
    <w:rsid w:val="005A2F43"/>
    <w:rsid w:val="005A5C01"/>
    <w:rsid w:val="005C0258"/>
    <w:rsid w:val="005C5909"/>
    <w:rsid w:val="005D0118"/>
    <w:rsid w:val="005E5192"/>
    <w:rsid w:val="005F30BC"/>
    <w:rsid w:val="005F3E96"/>
    <w:rsid w:val="00611694"/>
    <w:rsid w:val="0061188C"/>
    <w:rsid w:val="00617ACF"/>
    <w:rsid w:val="006262ED"/>
    <w:rsid w:val="006319DC"/>
    <w:rsid w:val="00645585"/>
    <w:rsid w:val="006562FF"/>
    <w:rsid w:val="00673029"/>
    <w:rsid w:val="00676187"/>
    <w:rsid w:val="00680533"/>
    <w:rsid w:val="006864CA"/>
    <w:rsid w:val="006937EC"/>
    <w:rsid w:val="006951FC"/>
    <w:rsid w:val="006A0BDD"/>
    <w:rsid w:val="006B39ED"/>
    <w:rsid w:val="006C5E0D"/>
    <w:rsid w:val="006D1B17"/>
    <w:rsid w:val="006D3C8A"/>
    <w:rsid w:val="006E22C9"/>
    <w:rsid w:val="006F081D"/>
    <w:rsid w:val="006F0A01"/>
    <w:rsid w:val="00715A51"/>
    <w:rsid w:val="00720D2F"/>
    <w:rsid w:val="00723CDA"/>
    <w:rsid w:val="00730193"/>
    <w:rsid w:val="007349D6"/>
    <w:rsid w:val="00740A46"/>
    <w:rsid w:val="00740DA3"/>
    <w:rsid w:val="00744BA1"/>
    <w:rsid w:val="00744F8C"/>
    <w:rsid w:val="00761D8C"/>
    <w:rsid w:val="007626E7"/>
    <w:rsid w:val="00772B4B"/>
    <w:rsid w:val="00773AAF"/>
    <w:rsid w:val="007763E8"/>
    <w:rsid w:val="00780F47"/>
    <w:rsid w:val="00786073"/>
    <w:rsid w:val="00787B93"/>
    <w:rsid w:val="00797A31"/>
    <w:rsid w:val="007A1EB0"/>
    <w:rsid w:val="007A304C"/>
    <w:rsid w:val="007A4C87"/>
    <w:rsid w:val="007A5444"/>
    <w:rsid w:val="007B0E23"/>
    <w:rsid w:val="007B2DD9"/>
    <w:rsid w:val="007D037D"/>
    <w:rsid w:val="007D03AB"/>
    <w:rsid w:val="007D1783"/>
    <w:rsid w:val="007D2D36"/>
    <w:rsid w:val="007D7732"/>
    <w:rsid w:val="007E48FF"/>
    <w:rsid w:val="007F7A9D"/>
    <w:rsid w:val="00804A5D"/>
    <w:rsid w:val="00806194"/>
    <w:rsid w:val="00806C2E"/>
    <w:rsid w:val="008076C1"/>
    <w:rsid w:val="00807E40"/>
    <w:rsid w:val="008126FB"/>
    <w:rsid w:val="00817655"/>
    <w:rsid w:val="008216B4"/>
    <w:rsid w:val="008232B6"/>
    <w:rsid w:val="00831B0F"/>
    <w:rsid w:val="0083488C"/>
    <w:rsid w:val="00835C8D"/>
    <w:rsid w:val="00843E5B"/>
    <w:rsid w:val="0084698E"/>
    <w:rsid w:val="00850B8D"/>
    <w:rsid w:val="00852C16"/>
    <w:rsid w:val="008572C3"/>
    <w:rsid w:val="00857FB4"/>
    <w:rsid w:val="00862F04"/>
    <w:rsid w:val="00865C88"/>
    <w:rsid w:val="008747CB"/>
    <w:rsid w:val="00876065"/>
    <w:rsid w:val="008825D2"/>
    <w:rsid w:val="008843B2"/>
    <w:rsid w:val="00884EFF"/>
    <w:rsid w:val="00886DFE"/>
    <w:rsid w:val="00894E97"/>
    <w:rsid w:val="008B030F"/>
    <w:rsid w:val="008C63A7"/>
    <w:rsid w:val="008D4328"/>
    <w:rsid w:val="008E733E"/>
    <w:rsid w:val="008F212A"/>
    <w:rsid w:val="008F2800"/>
    <w:rsid w:val="0090262D"/>
    <w:rsid w:val="00906020"/>
    <w:rsid w:val="009143F1"/>
    <w:rsid w:val="00920E8D"/>
    <w:rsid w:val="00922197"/>
    <w:rsid w:val="00930786"/>
    <w:rsid w:val="0093474A"/>
    <w:rsid w:val="00945937"/>
    <w:rsid w:val="00950BDB"/>
    <w:rsid w:val="00964E10"/>
    <w:rsid w:val="0098297D"/>
    <w:rsid w:val="00983DEC"/>
    <w:rsid w:val="00984119"/>
    <w:rsid w:val="00984681"/>
    <w:rsid w:val="00984860"/>
    <w:rsid w:val="00987C08"/>
    <w:rsid w:val="00994A15"/>
    <w:rsid w:val="00995C55"/>
    <w:rsid w:val="009A081B"/>
    <w:rsid w:val="009A0D68"/>
    <w:rsid w:val="009A2638"/>
    <w:rsid w:val="009A2D39"/>
    <w:rsid w:val="009A33F0"/>
    <w:rsid w:val="009A5621"/>
    <w:rsid w:val="009B3A5C"/>
    <w:rsid w:val="009C1A2E"/>
    <w:rsid w:val="009C7267"/>
    <w:rsid w:val="009C72FE"/>
    <w:rsid w:val="009D3902"/>
    <w:rsid w:val="009D4E0C"/>
    <w:rsid w:val="009E0EE0"/>
    <w:rsid w:val="009F4960"/>
    <w:rsid w:val="009F6B96"/>
    <w:rsid w:val="009F7A37"/>
    <w:rsid w:val="009F7B67"/>
    <w:rsid w:val="00A02ED0"/>
    <w:rsid w:val="00A1541E"/>
    <w:rsid w:val="00A22908"/>
    <w:rsid w:val="00A23B00"/>
    <w:rsid w:val="00A245A7"/>
    <w:rsid w:val="00A276D9"/>
    <w:rsid w:val="00A2786C"/>
    <w:rsid w:val="00A37A86"/>
    <w:rsid w:val="00A42F36"/>
    <w:rsid w:val="00A5179E"/>
    <w:rsid w:val="00A61107"/>
    <w:rsid w:val="00A649E1"/>
    <w:rsid w:val="00A672A5"/>
    <w:rsid w:val="00A717F7"/>
    <w:rsid w:val="00A749B1"/>
    <w:rsid w:val="00A82E8C"/>
    <w:rsid w:val="00A84374"/>
    <w:rsid w:val="00AA0FB7"/>
    <w:rsid w:val="00AA39FC"/>
    <w:rsid w:val="00AC4FE5"/>
    <w:rsid w:val="00AC640A"/>
    <w:rsid w:val="00AD1BEF"/>
    <w:rsid w:val="00AD4195"/>
    <w:rsid w:val="00AD5621"/>
    <w:rsid w:val="00AE0090"/>
    <w:rsid w:val="00AE08B4"/>
    <w:rsid w:val="00AE3DF4"/>
    <w:rsid w:val="00AF1B72"/>
    <w:rsid w:val="00B16CE1"/>
    <w:rsid w:val="00B2190C"/>
    <w:rsid w:val="00B21F85"/>
    <w:rsid w:val="00B32C98"/>
    <w:rsid w:val="00B3675E"/>
    <w:rsid w:val="00B41044"/>
    <w:rsid w:val="00B516DB"/>
    <w:rsid w:val="00B52EEC"/>
    <w:rsid w:val="00B57FAA"/>
    <w:rsid w:val="00B64246"/>
    <w:rsid w:val="00B73B30"/>
    <w:rsid w:val="00B83FC5"/>
    <w:rsid w:val="00B847EF"/>
    <w:rsid w:val="00B91C16"/>
    <w:rsid w:val="00B9285A"/>
    <w:rsid w:val="00B97DB6"/>
    <w:rsid w:val="00BB27D3"/>
    <w:rsid w:val="00BB325C"/>
    <w:rsid w:val="00BB4414"/>
    <w:rsid w:val="00BB488C"/>
    <w:rsid w:val="00BB48A7"/>
    <w:rsid w:val="00BC31E0"/>
    <w:rsid w:val="00BD16B5"/>
    <w:rsid w:val="00BD2985"/>
    <w:rsid w:val="00BF70DB"/>
    <w:rsid w:val="00C0383A"/>
    <w:rsid w:val="00C076A9"/>
    <w:rsid w:val="00C1158A"/>
    <w:rsid w:val="00C130B3"/>
    <w:rsid w:val="00C20869"/>
    <w:rsid w:val="00C43E73"/>
    <w:rsid w:val="00C4764C"/>
    <w:rsid w:val="00C544E1"/>
    <w:rsid w:val="00C547F0"/>
    <w:rsid w:val="00C602B8"/>
    <w:rsid w:val="00C6233A"/>
    <w:rsid w:val="00C66C13"/>
    <w:rsid w:val="00C73E2A"/>
    <w:rsid w:val="00C752C4"/>
    <w:rsid w:val="00C753D8"/>
    <w:rsid w:val="00C9078E"/>
    <w:rsid w:val="00C93875"/>
    <w:rsid w:val="00CA2B8E"/>
    <w:rsid w:val="00CB2472"/>
    <w:rsid w:val="00CB26E2"/>
    <w:rsid w:val="00CB2E4E"/>
    <w:rsid w:val="00CC3ACF"/>
    <w:rsid w:val="00CC7CC1"/>
    <w:rsid w:val="00CD53CB"/>
    <w:rsid w:val="00CD6AB1"/>
    <w:rsid w:val="00CD6EAF"/>
    <w:rsid w:val="00CE55B7"/>
    <w:rsid w:val="00CF0462"/>
    <w:rsid w:val="00CF1560"/>
    <w:rsid w:val="00CF242A"/>
    <w:rsid w:val="00CF3D2E"/>
    <w:rsid w:val="00D0055C"/>
    <w:rsid w:val="00D05844"/>
    <w:rsid w:val="00D061BB"/>
    <w:rsid w:val="00D152FB"/>
    <w:rsid w:val="00D207EA"/>
    <w:rsid w:val="00D2727B"/>
    <w:rsid w:val="00D31010"/>
    <w:rsid w:val="00D35B4C"/>
    <w:rsid w:val="00D36317"/>
    <w:rsid w:val="00D40AB0"/>
    <w:rsid w:val="00D40E34"/>
    <w:rsid w:val="00D51491"/>
    <w:rsid w:val="00D549C7"/>
    <w:rsid w:val="00D92BA5"/>
    <w:rsid w:val="00DA5A47"/>
    <w:rsid w:val="00DB39B5"/>
    <w:rsid w:val="00DB53B7"/>
    <w:rsid w:val="00DC4358"/>
    <w:rsid w:val="00DC792E"/>
    <w:rsid w:val="00DD14BB"/>
    <w:rsid w:val="00DE7A32"/>
    <w:rsid w:val="00DF782C"/>
    <w:rsid w:val="00E10CF1"/>
    <w:rsid w:val="00E15203"/>
    <w:rsid w:val="00E216B3"/>
    <w:rsid w:val="00E27554"/>
    <w:rsid w:val="00E27A90"/>
    <w:rsid w:val="00E317C2"/>
    <w:rsid w:val="00E3588D"/>
    <w:rsid w:val="00E41E1B"/>
    <w:rsid w:val="00E51DF4"/>
    <w:rsid w:val="00E535E4"/>
    <w:rsid w:val="00E61519"/>
    <w:rsid w:val="00E6179D"/>
    <w:rsid w:val="00E676E0"/>
    <w:rsid w:val="00E82D3D"/>
    <w:rsid w:val="00E93266"/>
    <w:rsid w:val="00E93A36"/>
    <w:rsid w:val="00EA110C"/>
    <w:rsid w:val="00EA33CD"/>
    <w:rsid w:val="00EA7D41"/>
    <w:rsid w:val="00EB2D01"/>
    <w:rsid w:val="00EB7AAD"/>
    <w:rsid w:val="00EC6B7E"/>
    <w:rsid w:val="00EF21BF"/>
    <w:rsid w:val="00EF3EA6"/>
    <w:rsid w:val="00EF6FDF"/>
    <w:rsid w:val="00F01271"/>
    <w:rsid w:val="00F026EC"/>
    <w:rsid w:val="00F1169F"/>
    <w:rsid w:val="00F1403B"/>
    <w:rsid w:val="00F26CE5"/>
    <w:rsid w:val="00F30EE8"/>
    <w:rsid w:val="00F41722"/>
    <w:rsid w:val="00F44EAA"/>
    <w:rsid w:val="00F665AF"/>
    <w:rsid w:val="00F72355"/>
    <w:rsid w:val="00F8373B"/>
    <w:rsid w:val="00FA6405"/>
    <w:rsid w:val="00FA79CE"/>
    <w:rsid w:val="00FB274F"/>
    <w:rsid w:val="00FC605B"/>
    <w:rsid w:val="00FD1FAD"/>
    <w:rsid w:val="00FE3088"/>
    <w:rsid w:val="00FF3621"/>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F026EC"/>
    <w:pPr>
      <w:tabs>
        <w:tab w:val="left" w:pos="660"/>
        <w:tab w:val="right" w:leader="dot" w:pos="8828"/>
      </w:tabs>
      <w:spacing w:after="100"/>
      <w:ind w:left="284"/>
    </w:pPr>
    <w:rPr>
      <w:rFonts w:ascii="Palatino Linotype" w:hAnsi="Palatino Linotype"/>
      <w:b/>
      <w:noProof/>
      <w:sz w:val="24"/>
      <w:szCs w:val="24"/>
    </w:r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90361-56DC-451D-B8F6-C2FB6ECCF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30</Pages>
  <Words>5663</Words>
  <Characters>31147</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12</cp:revision>
  <cp:lastPrinted>2018-09-03T16:21:00Z</cp:lastPrinted>
  <dcterms:created xsi:type="dcterms:W3CDTF">2019-01-10T22:09:00Z</dcterms:created>
  <dcterms:modified xsi:type="dcterms:W3CDTF">2019-01-14T16:22:00Z</dcterms:modified>
</cp:coreProperties>
</file>